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611F" w:rsidRDefault="005E45EB">
      <w:r>
        <w:fldChar w:fldCharType="begin"/>
      </w:r>
      <w:r>
        <w:instrText xml:space="preserve"> HYPERLINK "</w:instrText>
      </w:r>
      <w:r w:rsidRPr="005E45EB">
        <w:instrText>https://www.uvzsr.sk/index.php?option=com_content&amp;view=article&amp;id=4897:opatrenia-platne-v-oranovych-ervenych-bordovych-a-iernych-okresoch&amp;catid=56:tlaove-spravy&amp;Itemid=62</w:instrText>
      </w:r>
      <w:r>
        <w:instrText xml:space="preserve">" </w:instrText>
      </w:r>
      <w:r>
        <w:fldChar w:fldCharType="separate"/>
      </w:r>
      <w:r w:rsidRPr="00426BAF">
        <w:rPr>
          <w:rStyle w:val="Hypertextovprepojenie"/>
        </w:rPr>
        <w:t>https://www.uvzsr.sk/index.php?option=com_content&amp;view=article&amp;id=4897:opatrenia-platne-v-oranovych-ervenych-bordovych-a-iernych-okresoch&amp;catid=56:tlaove-spravy&amp;Itemid=62</w:t>
      </w:r>
      <w:r>
        <w:fldChar w:fldCharType="end"/>
      </w:r>
    </w:p>
    <w:p w:rsidR="005E45EB" w:rsidRDefault="005E45E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07"/>
        <w:gridCol w:w="270"/>
        <w:gridCol w:w="285"/>
      </w:tblGrid>
      <w:tr w:rsidR="005E45EB" w:rsidTr="005E45EB">
        <w:trPr>
          <w:tblCellSpacing w:w="15" w:type="dxa"/>
        </w:trPr>
        <w:tc>
          <w:tcPr>
            <w:tcW w:w="5000" w:type="pct"/>
            <w:vAlign w:val="center"/>
            <w:hideMark/>
          </w:tcPr>
          <w:p w:rsidR="005E45EB" w:rsidRDefault="005E45EB">
            <w:pPr>
              <w:rPr>
                <w:rFonts w:ascii="Helvetica" w:hAnsi="Helvetica" w:cs="Helvetica"/>
                <w:color w:val="669900"/>
                <w:sz w:val="27"/>
                <w:szCs w:val="27"/>
              </w:rPr>
            </w:pPr>
            <w:r>
              <w:rPr>
                <w:rFonts w:ascii="Helvetica" w:hAnsi="Helvetica" w:cs="Helvetica"/>
                <w:color w:val="669900"/>
                <w:sz w:val="27"/>
                <w:szCs w:val="27"/>
              </w:rPr>
              <w:t xml:space="preserve">OPATRENIA PLATNÉ V ORANŽOVÝCH, ČERVENÝCH, BORDOVÝCH A ČIERNYCH OKRESOCH </w:t>
            </w:r>
          </w:p>
        </w:tc>
        <w:tc>
          <w:tcPr>
            <w:tcW w:w="5000" w:type="pct"/>
            <w:vAlign w:val="center"/>
            <w:hideMark/>
          </w:tcPr>
          <w:p w:rsidR="005E45EB" w:rsidRDefault="005E45EB">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2" name="Obrázok 2" descr="Tlačiť">
                    <a:hlinkClick xmlns:a="http://schemas.openxmlformats.org/drawingml/2006/main" r:id="rId5"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5" tooltip="&quot;Tlačiť&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5E45EB" w:rsidRDefault="005E45EB">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1" name="Obrázok 1"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5E45EB" w:rsidRDefault="005E45EB" w:rsidP="005E45EB">
      <w:pPr>
        <w:rPr>
          <w:rFonts w:ascii="Helvetica" w:hAnsi="Helvetica" w:cs="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5E45EB" w:rsidTr="005E45EB">
        <w:trPr>
          <w:tblCellSpacing w:w="15" w:type="dxa"/>
        </w:trPr>
        <w:tc>
          <w:tcPr>
            <w:tcW w:w="0" w:type="auto"/>
            <w:vAlign w:val="center"/>
            <w:hideMark/>
          </w:tcPr>
          <w:p w:rsidR="005E45EB" w:rsidRDefault="00A35158">
            <w:pPr>
              <w:rPr>
                <w:rFonts w:ascii="Helvetica" w:hAnsi="Helvetica" w:cs="Helvetica"/>
                <w:color w:val="333333"/>
                <w:sz w:val="18"/>
                <w:szCs w:val="18"/>
              </w:rPr>
            </w:pPr>
            <w:hyperlink r:id="rId9" w:history="1">
              <w:r w:rsidR="005E45EB">
                <w:rPr>
                  <w:rStyle w:val="Hypertextovprepojenie"/>
                  <w:rFonts w:ascii="Helvetica" w:hAnsi="Helvetica" w:cs="Helvetica"/>
                  <w:sz w:val="18"/>
                  <w:szCs w:val="18"/>
                </w:rPr>
                <w:t xml:space="preserve">Tlačové správy </w:t>
              </w:r>
            </w:hyperlink>
          </w:p>
        </w:tc>
      </w:tr>
      <w:tr w:rsidR="005E45EB" w:rsidTr="005E45EB">
        <w:trPr>
          <w:tblCellSpacing w:w="15" w:type="dxa"/>
        </w:trPr>
        <w:tc>
          <w:tcPr>
            <w:tcW w:w="0" w:type="auto"/>
            <w:hideMark/>
          </w:tcPr>
          <w:p w:rsidR="005E45EB" w:rsidRPr="005E45EB" w:rsidRDefault="005E45EB">
            <w:pPr>
              <w:rPr>
                <w:rFonts w:ascii="Arial" w:hAnsi="Arial" w:cs="Arial"/>
                <w:b/>
                <w:color w:val="999999"/>
              </w:rPr>
            </w:pPr>
            <w:r w:rsidRPr="005E45EB">
              <w:rPr>
                <w:rFonts w:ascii="Arial" w:hAnsi="Arial" w:cs="Arial"/>
                <w:b/>
                <w:color w:val="FF0000"/>
              </w:rPr>
              <w:t xml:space="preserve">Pondelok, 18. október 2021 13:20 </w:t>
            </w:r>
          </w:p>
        </w:tc>
      </w:tr>
      <w:tr w:rsidR="005E45EB" w:rsidTr="005E45EB">
        <w:trPr>
          <w:tblCellSpacing w:w="15" w:type="dxa"/>
        </w:trPr>
        <w:tc>
          <w:tcPr>
            <w:tcW w:w="0" w:type="auto"/>
            <w:hideMark/>
          </w:tcPr>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t>Od pondelka 18.10.2021 bude v oranžovej farbe 15 okresov, v červenej 37. Celkovo 22 okresov bude v bordovej farbe, v čiernej ich bude 5. Aktualizáciu mapy okresov podľa COVID automatu schválila vláda SR.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t>Úrad verejného zdravotníctva SR ponúka zosumarizované opatrenia platné pre tieto farby okresov vyplývajúce z vyhlášok.</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V čiernej fáze (3. stupeň ohrozenia) sú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Bardejov, Čadca, Kysucké Nové Mesto, Stará Ľubovňa, Svidník.</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V bordovej fáze (2. stupeň ohrozenia) sú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xml:space="preserve">Bytča, Detva, Dolný Kubín, Humenné, Košice I.-IV., </w:t>
            </w:r>
            <w:proofErr w:type="spellStart"/>
            <w:r>
              <w:rPr>
                <w:rFonts w:ascii="Arial" w:hAnsi="Arial" w:cs="Arial"/>
                <w:color w:val="333333"/>
                <w:sz w:val="20"/>
                <w:szCs w:val="20"/>
              </w:rPr>
              <w:t>Košice-okolie</w:t>
            </w:r>
            <w:proofErr w:type="spellEnd"/>
            <w:r>
              <w:rPr>
                <w:rFonts w:ascii="Arial" w:hAnsi="Arial" w:cs="Arial"/>
                <w:color w:val="333333"/>
                <w:sz w:val="20"/>
                <w:szCs w:val="20"/>
              </w:rPr>
              <w:t>, Krupina, Levoča, Liptovský Mikuláš, Michalovce, Námestovo, Ružomberok, Sabinov, Skalica, Snina, Stropkov, Tvrdošín, Veľký Krtíš, Žiar nad Hronom.</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V červenej fáze (1. stupeň ohrozenia) sú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Bánovce nad Bebravou, Banská Bystrica, Banská Štiavnica, Brezno, Gelnica, Hlohovec, Ilava, Kežmarok, Levice, Lučenec, Malacky, Martin, Medzilaborce, Myjava, Nitra, Nové Mesto nad Váhom, Piešťany, Poltár, Poprad, Považská Bystrica, Prešov, Prievidza, Púchov, Revúca, Rimavská Sobota, Rožňava, Senica, Sobrance, Spišská Nová Ves, Trebišov, Trenčín, Turčianske Teplice, Vranov nad Topľou, Žarnovica, Žilina, Zlaté Moravce, Zvolen.</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V oranžovej fáze (Ostražitosť) sú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Bratislava I.-V., Dunajská Streda, Galanta, Komárno, Nové Zámky, Partizánske, Pezinok, Šaľa, Senec, Topoľčany, Trnava.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RÚŠKA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Oranžové okresy:</w:t>
            </w:r>
            <w:r>
              <w:rPr>
                <w:rFonts w:ascii="Arial" w:hAnsi="Arial" w:cs="Arial"/>
                <w:color w:val="333333"/>
                <w:sz w:val="20"/>
                <w:szCs w:val="20"/>
              </w:rPr>
              <w:t xml:space="preserve"> Prekrytie horných dýchacích ciest respirátorom, rúškom, šálom alebo šatkou je povinné v interiéroch vrátane prostriedkov verejnej dopravy a taxíkov. Povinné je aj na hromadných podujatiach, a to aj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Červené okresy:</w:t>
            </w:r>
            <w:r>
              <w:rPr>
                <w:rFonts w:ascii="Arial" w:hAnsi="Arial" w:cs="Arial"/>
                <w:color w:val="333333"/>
                <w:sz w:val="20"/>
                <w:szCs w:val="20"/>
              </w:rPr>
              <w:t xml:space="preserve"> V interiéroch vrátane prostriedkov verejnej dopravy a taxíkov je povinný respirátor. V exteriéri platí povinné prekrytie horných dýchacích ciest respirátorom, rúškom, šálom alebo šatkou na hromadných podujatiach.</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Bordové a čierne okresy:</w:t>
            </w:r>
            <w:r>
              <w:rPr>
                <w:rFonts w:ascii="Arial" w:hAnsi="Arial" w:cs="Arial"/>
                <w:color w:val="333333"/>
                <w:sz w:val="20"/>
                <w:szCs w:val="20"/>
              </w:rPr>
              <w:t xml:space="preserve"> V interiéroch vrátane prostriedkov verejnej dopravy a taxíkov je povinné mať na nose aj ústach respirátor. V exteriéri platí povinné prekrytie horných dýchacích ciest, a to buď rúškom, respirátorom, šálom alebo šatkou, ak ste od cudzích osôb menej ako dva metre.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 xml:space="preserve">Z prekrytia horných dýchacích ciest platia aj výnimky, ktorú sú podrobne uvedené </w:t>
            </w:r>
            <w:hyperlink r:id="rId10" w:history="1">
              <w:r>
                <w:rPr>
                  <w:rStyle w:val="Hypertextovprepojenie"/>
                  <w:rFonts w:ascii="Arial" w:hAnsi="Arial" w:cs="Arial"/>
                  <w:sz w:val="20"/>
                  <w:szCs w:val="20"/>
                </w:rPr>
                <w:t>vo vyhláške ÚVZ SR č. 250</w:t>
              </w:r>
            </w:hyperlink>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NÁVŠTEVY V ZDRAVOTNÍCKYCH ZARIADENIACH</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 xml:space="preserve">Návštevníkmi budú môcť byť osoby, ktoré spĺňajú definíciu plne zaočkovanej osoby, prekonali ochorenie COVID-19 pred nie viac ako 180 dňami, alebo majú negatívny výsledok testu na ochorenie </w:t>
            </w:r>
            <w:r>
              <w:rPr>
                <w:rFonts w:ascii="Arial" w:hAnsi="Arial" w:cs="Arial"/>
                <w:color w:val="333333"/>
                <w:sz w:val="20"/>
                <w:szCs w:val="20"/>
              </w:rPr>
              <w:lastRenderedPageBreak/>
              <w:t>COVID-19:</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PCR alebo LAMP test nie starší ako 72 hodín od odberu.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Antigénový test nie starší ako 24 hodín od odberu.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Netýka sa to osôb, ktoré privážajú či sprevádzajú pacientov na vyšetrenie alebo hospitalizáciu, len osôb, ktoré prichádzajú navštíviť hospitalizované osoby.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Regionálne úrady verejného zdravotníctva môžu vo svojej územnej pôsobnosti nariadiť aj miernejšie alebo prísnejšie opatrenia.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PREVÁDZKY A PODUJATIA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Prevádzky, okrem typov prevádzok stanovených vyhláškou, a organizátori hromadných podujatí si musia vybrať, v akom režime budú fungovať: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br/>
              <w:t>Základ:</w:t>
            </w:r>
            <w:r>
              <w:rPr>
                <w:rFonts w:ascii="Arial" w:hAnsi="Arial" w:cs="Arial"/>
                <w:color w:val="333333"/>
                <w:sz w:val="20"/>
                <w:szCs w:val="20"/>
              </w:rPr>
              <w:t xml:space="preserve"> Prístup pre všetky osoby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br/>
              <w:t>OTP:</w:t>
            </w:r>
            <w:r>
              <w:rPr>
                <w:rFonts w:ascii="Arial" w:hAnsi="Arial" w:cs="Arial"/>
                <w:color w:val="333333"/>
                <w:sz w:val="20"/>
                <w:szCs w:val="20"/>
              </w:rPr>
              <w:t xml:space="preserve"> Prístup pre očkovaných, testovaných, a po prekonaní COVID-19, pričom negatívny výsledok má byť z:</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PCR alebo LAMP testu nie starší ako 72 hodín od odberu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antigénového testu nie starší ako 48 hodín od odberu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br/>
              <w:t>Očkovaní:</w:t>
            </w:r>
            <w:r>
              <w:rPr>
                <w:rFonts w:ascii="Arial" w:hAnsi="Arial" w:cs="Arial"/>
                <w:color w:val="333333"/>
                <w:sz w:val="20"/>
                <w:szCs w:val="20"/>
              </w:rPr>
              <w:t xml:space="preserve"> pre kompletne zaočkovaných, teda: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- 14 dní po podaní druhej dávky dvojdávkovej vakcíny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- 21 dní po zaočkovaní jednodávkovou vakcínou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- 14 dní po prvej dávke ktorejkoľvek vakcíny, ak bola osoba zaočkovaná do 180 dní od prekonania COVID-19.</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na účely vyhlášok k obmedzeniam prevádzok a organizácii hromadných podujatí sa ako kompletne zaočkované posudzujú aj deti do veku 12 rokov a 2 mesiace.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Režim, v ktorom prevádzka funguje, musí viditeľne vyznačiť vo svojich priestoroch. Organizátor hromadného podujatia rovnako musí pri vstupe viditeľne označiť, ktorým osobám umožní vstup. Vstup a pobyt v prevádzke alebo do priestorov hromadného podujatia musí prevádzkovateľ/organizátor povoliť len zákazníkom/účastníkom vo zvolenom režime.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 xml:space="preserve">!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Režim (základ, OTP, kompletne zaočkovaní) na vstupe do prevádzky si nie sú povinné označiť esenciálne prevádzky a služby vymenované v § 2 odsek 2 vyhlášky upravujúcej činnosť prevádzok. Ide napríklad o potraviny, drogérie, lekárne, očné optiky a predajne zdravotníckych pomôcok, kúpele poskytujúce procedúry na základe návrhu lekára, predajne novín a tlačovín, predajne s krmivom pre zvieratá a veterinárne ambulancie, knižnice, čerpacie stanice, opravovne a servis elektroniky strojov, služby STK a emisnej kontroly a podobne. Tieto prevádzky a služby si nemusia stanoviť režim ani v čiernom okrese. Ostatné prevádzky a služby, ktoré majú povolenú činnosť v čiernom okrese, si musia zvoliť režim OTP alebo režim zaočkovaní.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HROMADNÉ PODUJATIA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v interiéri najviac 25 % kapacity, v exteriéri najviac 50 % kapacity; ak nie je možné určiť kapacitu, najviac 1000 osôb v exteriéri, 500 v interiéri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státie - exteriér max 100 osôb, státie - interiér max 50 osôb, sedenie - exteriér max 50 % kapacity priestoru na sedenie (avšak do 200 osôb), sedenie - interiér max. 25 % kapacity priestoru na sedenie (avšak do 100 osôb). Organizátor je povinný uchovávať zoznam a kontakty na účastníkov 14 dní po skončení podujatia, po 14 dňoch je povinný ich zničiť. Táto povinnosť neplatí pre podujatia v režime OTP alebo výlučne zaočkovaní.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25 % kapacity, pokiaľ nie je kapacita určiteľná, max. 150 osôb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max.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lastRenderedPageBreak/>
              <w:t>Organizátor je povinný uchovávať zoznam a kontakty na účastníkov 14 dní po skončení podujatia, po 14 dňoch je povinný ich zničiť.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25 % kapacity, pokiaľ nie je kapacita určiteľná, max. 50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max. 6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Organizátor je povinný uchovávať zoznam a kontakty na účastníkov 14 dní po skončení podujatia, po 14 dňoch je povinný ich zničiť.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u w:val="single"/>
              </w:rP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max. 100 osôb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Organizátor je povinný uchovávať zoznam a kontakty na účastníkov 14 dní po skončení podujatia, po 14 dňoch je povinný ich zničiť.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Podujatia (s výnimkou svadieb, večierkov, osláv a iných obdobných podujatí alebo podujatí v prevádzkach verejného stravovania), kde sú zaočkovaní všetci účastníci, sú v zelených až bordových okresoch bez kapacitného limitu. Ak je účasť vyššia ako 1000 osôb, je potrebné toto podujatie ohlásiť najneskôr 48 hodín pred začiatkom miestne príslušnému regionálnemu úradu verejného zdravotníctva.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Ak sa podujatie koná v exteriéri, organizátor ho musí ohradiť a vyznačiť jeho vstup a výstup.</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ŠPORTOVÉ PODUJATIA - SÚŤAŽE, LIMITY PRE ŠPORTOVCOV</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Najviac 200 osôb v interiéri alebo 400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maximálne 50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interiér 75 osôb na jeden sektor, exteriér 150 osôb na jeden sektor</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(len tréningy): 10 osôb na sektor</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50 osôb na sektor</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(len tréningy): 6 osôb na sektor</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Divácka kapacita na športových podujatiach sa riadi všeobecnými pravidlami pre hromadné podujatia.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Čierne okresy:</w:t>
            </w:r>
            <w:r>
              <w:rPr>
                <w:rFonts w:ascii="Arial" w:hAnsi="Arial" w:cs="Arial"/>
                <w:color w:val="333333"/>
                <w:sz w:val="20"/>
                <w:szCs w:val="20"/>
              </w:rPr>
              <w:t>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max. 100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 (iba profesionálne súťaže menované vo vyhláške)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KULTÚRNE PODUJATIA: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Najviac 50 % kapacity priestoru, maximálne 500 osôb v interiéri alebo 1000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v prípade sedenia najviac 50 % kapacity priestoru, maximálne 250 sediacich osôb v interiéri alebo 500 v exteriéri; v prípade státia najviac 50 % kapacity priestoru, maximálne 50 osôb stojacich v interiéri alebo 100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lastRenderedPageBreak/>
              <w:t>OTP:</w:t>
            </w:r>
            <w:r>
              <w:rPr>
                <w:rFonts w:ascii="Arial" w:hAnsi="Arial" w:cs="Arial"/>
                <w:color w:val="333333"/>
                <w:sz w:val="20"/>
                <w:szCs w:val="20"/>
              </w:rPr>
              <w:t xml:space="preserve"> 50 % kapacity, avšak do 250 osôb v interiéri a do 500 osôb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50 % kapacity, avšak do 50 sediacich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50 % kapacity, avšak do 150 osôb v interiéri a do 200 osôb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Čierne okresy:</w:t>
            </w:r>
            <w:r>
              <w:rPr>
                <w:rFonts w:ascii="Arial" w:hAnsi="Arial" w:cs="Arial"/>
                <w:color w:val="333333"/>
                <w:sz w:val="20"/>
                <w:szCs w:val="20"/>
              </w:rPr>
              <w:t>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max. 100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Podrobnejšie informácie na </w:t>
            </w:r>
            <w:hyperlink r:id="rId11" w:history="1">
              <w:r>
                <w:rPr>
                  <w:rStyle w:val="Hypertextovprepojenie"/>
                  <w:rFonts w:ascii="Arial" w:hAnsi="Arial" w:cs="Arial"/>
                  <w:sz w:val="20"/>
                  <w:szCs w:val="20"/>
                </w:rPr>
                <w:t>https://kulturnysemafor.sk</w:t>
              </w:r>
            </w:hyperlink>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BOHOSLUŽBY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interiér max. 25 % kapacity priestoru, exteriér max. 50 % kapacity priestoru; pokiaľ nie je určiteľná kapacita, interiér do 500 osôb, exteriér pre 1000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státie - exteriér max. 100 osôb, státie - interiér max. 50 osôb; sedenie - exteriér max. 50 % kapacity priestoru na sedenie (avšak do 200 osôb), sedenie - interiér max 25 % kapacity priestoru na sedenie (avšak do 100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max. 25 % kapacity priestoru (ak nie je určiteľná kapacita, max. 150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1 osoba / 15 m2 kapacity priestoru (ak je podlahová plocha menšia ako 150 m2, tak max.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maximálne 25 % kapacity priestorov, najviac 50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1 osoba / 15 m2 kapacity priestoru (ak je podlahová plocha menšia ako 90 m2, tak max. 6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max. 100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1 osoba / 15 m2 kapacity priestoru (ak je podlahová plocha menšia ako 90 m2, tak max. 6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1 osoba / 25 m2 kapacity priestoru (ak je podlahová plocha menšia ako 150 m2, tak max. 6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OBRAD SOBÁŠA ALEBO KRSTU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interiér max. 25 % kapacity priestoru, exteriér max. 50 % kapacity priestoru; pokiaľ nie je určiteľná kapacita, interiér do 500 osôb, exteriér pre 1000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sedenie najviac 25 % kapacity (najviac 100 osôb) v interiéri a 50 % (najviac 200 osôb) v exteriéri, státie najviac 50 v interiéri a 100 v exteriéri.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maximálne 25 % kapacity priestorov hromadného podujatia, ak nie je možné určiť kapacitu, najviac 150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1 osoba na 15 m2 podlahovej plochy priestoru; pokiaľ je podlahová plocha menšia ako 150 m2, v priestore sa v jednom okamihu môže nachádzať najviac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lastRenderedPageBreak/>
              <w:t>Zaočkovaní:</w:t>
            </w:r>
            <w:r>
              <w:rPr>
                <w:rFonts w:ascii="Arial" w:hAnsi="Arial" w:cs="Arial"/>
                <w:color w:val="333333"/>
                <w:sz w:val="20"/>
                <w:szCs w:val="20"/>
              </w:rPr>
              <w:t xml:space="preserve"> bez kapacitného limitu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25 % kapacity, pokiaľ nie je kapacita určiteľná, max. 50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max. 6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Čierne okresy:</w:t>
            </w:r>
            <w:r>
              <w:rPr>
                <w:rFonts w:ascii="Arial" w:hAnsi="Arial" w:cs="Arial"/>
                <w:color w:val="333333"/>
                <w:sz w:val="20"/>
                <w:szCs w:val="20"/>
              </w:rPr>
              <w:t>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max. 100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br/>
              <w:t>SVADBY, OSLAVY, VEČIERKY A INÉ OBDOBNÉ PODUJATIA ALEBO PODUJATIA V PREVÁDZKACH VEREJNÉHO STRAVOVANIA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Organizátor je vždy povinný uchovávať zoznam a kontakty na účastníkov 14 dní po skončení podujatia, po 14 dňoch je povinný ich zničiť.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najviac 100 osôb v interiéri alebo 200 osôb v exteriéri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najviac 50 osôb v interiéri alebo 100 v exteriéri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nesmú sa konať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interiér max. 50 osôb, exteriér max. 80 osôb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interiér max. 25 osôb, exteriér max. 40 osôb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nesmú sa konať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max. 20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Čierne okresy:</w:t>
            </w:r>
            <w:r>
              <w:rPr>
                <w:rFonts w:ascii="Arial" w:hAnsi="Arial" w:cs="Arial"/>
                <w:color w:val="333333"/>
                <w:sz w:val="20"/>
                <w:szCs w:val="20"/>
              </w:rPr>
              <w:t>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TAXISLUŽBY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Oranžové, červené a bordové okresy:</w:t>
            </w:r>
            <w:r>
              <w:rPr>
                <w:rFonts w:ascii="Arial" w:hAnsi="Arial" w:cs="Arial"/>
                <w:color w:val="333333"/>
                <w:sz w:val="20"/>
                <w:szCs w:val="20"/>
              </w:rPr>
              <w:t xml:space="preserve"> najviac dve osoby v jednom rade - vrátane vodiča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Čierne okresy:</w:t>
            </w:r>
            <w:r>
              <w:rPr>
                <w:rFonts w:ascii="Arial" w:hAnsi="Arial" w:cs="Arial"/>
                <w:color w:val="333333"/>
                <w:sz w:val="20"/>
                <w:szCs w:val="20"/>
              </w:rPr>
              <w:t xml:space="preserve"> najviac dve osoby vo vozidle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Červené, bordové a čierne okresy:</w:t>
            </w:r>
            <w:r>
              <w:rPr>
                <w:rFonts w:ascii="Arial" w:hAnsi="Arial" w:cs="Arial"/>
                <w:color w:val="333333"/>
                <w:sz w:val="20"/>
                <w:szCs w:val="20"/>
              </w:rPr>
              <w:t xml:space="preserve"> po každom zákazníkovi dezinfekcia priestorov pre zákazníkov (dezinfekčným prostriedkom s virucídnym účinkom).</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UMELÉ KÚPALISKÁ</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najviac 50 % kapacity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najviac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50 % kapacity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25 % kapacity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25 % kapacity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najviac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lastRenderedPageBreak/>
              <w:t>Zaočkovaní:</w:t>
            </w:r>
            <w:r>
              <w:rPr>
                <w:rFonts w:ascii="Arial" w:hAnsi="Arial" w:cs="Arial"/>
                <w:color w:val="333333"/>
                <w:sz w:val="20"/>
                <w:szCs w:val="20"/>
              </w:rPr>
              <w:t xml:space="preserve"> najviac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Prevádzky poskytujúce služby za účelom tréningu športových klubov majú osobitné pravidlá popísané vo vyhláške.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VLEKY A LANOVKY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Vleky, teda nie uzatvorené kabínky, sú otvorené pre plne zaočkované osoby alebo osoby v režime OTP v prevádzke vo všetkých farbách COVID semaforu.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Kapacitné obmedzenia sa týkajú iba kabínkových lanoviek:</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kapacitných obmedzení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bez kapacitných obmedzení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kabínkové lanovky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Červené a 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50 % kapacity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kabínkové lanovky zakázané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kabínkové lanovky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25 % kapacity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kabínkové lanovky zakázané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kabínkové lanovky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OBCHODNÉ DOMY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Oranžové okresy:</w:t>
            </w:r>
            <w:r>
              <w:rPr>
                <w:rFonts w:ascii="Arial" w:hAnsi="Arial" w:cs="Arial"/>
                <w:color w:val="333333"/>
                <w:sz w:val="20"/>
                <w:szCs w:val="20"/>
              </w:rPr>
              <w:t xml:space="preserve"> bez kapacitného limitu, otvorené sedacie sekcie a detské kútiky.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Červené, bordové a čierne okresy:</w:t>
            </w:r>
            <w:r>
              <w:rPr>
                <w:rFonts w:ascii="Arial" w:hAnsi="Arial" w:cs="Arial"/>
                <w:color w:val="333333"/>
                <w:sz w:val="20"/>
                <w:szCs w:val="20"/>
              </w:rPr>
              <w:t xml:space="preserve"> najviac 1 osoba na 15 metrov štvorcových, zatvorené sedacie sekcie a detské kútiky.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HOTELY A PODOBNÉ UBYTOVACIE SLUŽBY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ubytovanie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ubytovanie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ubytovanie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u w:val="single"/>
              </w:rPr>
              <w:t>Červené a 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ubytovanie bez kapacitných obmedzení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2 dospelé osoby na izbe alebo členovia jednej domácnosti na samostatnej izbe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ubytovanie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t>Ubytovanie zakázané</w:t>
            </w:r>
            <w:r>
              <w:rPr>
                <w:rFonts w:ascii="Arial" w:hAnsi="Arial" w:cs="Arial"/>
                <w:color w:val="333333"/>
                <w:sz w:val="20"/>
                <w:szCs w:val="20"/>
              </w:rPr>
              <w:t>, to sa netýka dlhodobého ubytovania, karanténneho ubytovania, krátkodobého ubytovania v súvislosti s výkonom práce alebo podnikania a služieb nevyhnutného ubytovania za účelom návštevy zdravotníckeho zariadenia.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REŠTAURÁCIE A OSTATNÉ ZARIADENIA VEREJNÉHO STRAVOVANIA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exteriér bez kapacitného limitu, v interiéri obsadenie jedného stolu najviac 4 osoby, alebo osoby z jednej domácnosti; v interiéri dvojmetrové </w:t>
            </w:r>
            <w:proofErr w:type="spellStart"/>
            <w:r>
              <w:rPr>
                <w:rFonts w:ascii="Arial" w:hAnsi="Arial" w:cs="Arial"/>
                <w:color w:val="333333"/>
                <w:sz w:val="20"/>
                <w:szCs w:val="20"/>
              </w:rPr>
              <w:t>rozostupy</w:t>
            </w:r>
            <w:proofErr w:type="spellEnd"/>
            <w:r>
              <w:rPr>
                <w:rFonts w:ascii="Arial" w:hAnsi="Arial" w:cs="Arial"/>
                <w:color w:val="333333"/>
                <w:sz w:val="20"/>
                <w:szCs w:val="20"/>
              </w:rPr>
              <w:t xml:space="preserve"> medzi stolmi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exteriér bez kapacitného limitu, v interiéri obsadenie jedného stolu najviac 4 osoby, alebo osoby z jednej domácnosti; v interiéri dvojmetrové </w:t>
            </w:r>
            <w:proofErr w:type="spellStart"/>
            <w:r>
              <w:rPr>
                <w:rFonts w:ascii="Arial" w:hAnsi="Arial" w:cs="Arial"/>
                <w:color w:val="333333"/>
                <w:sz w:val="20"/>
                <w:szCs w:val="20"/>
              </w:rPr>
              <w:t>rozostupy</w:t>
            </w:r>
            <w:proofErr w:type="spellEnd"/>
            <w:r>
              <w:rPr>
                <w:rFonts w:ascii="Arial" w:hAnsi="Arial" w:cs="Arial"/>
                <w:color w:val="333333"/>
                <w:sz w:val="20"/>
                <w:szCs w:val="20"/>
              </w:rPr>
              <w:t xml:space="preserve"> medzi stolmi</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vstup len do exteriéru, na terase max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lastRenderedPageBreak/>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exteriér bez kapacitných obmedzení, interiér 4 osoby pri jednom stole alebo osoby z jednej domácnosti; v interiéri rozostup stolov najmenej 2 metre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exteriér bez kapacitných obmedzení, interiér 4 osoby pri jednom stole alebo osoby z jednej domácnosti; v interiéri rozostup stolov najmenej 2 metre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okienkový predaj a rozvoz</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exteriér bez kapacitných obmedzení, interiér 4 osoby pri jednom stole alebo osoby z jednej domácnosti; v interiéri rozostup stolov najmenej 2 metre, konzumácia len posediačky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povolený len exteriér, bez kapacitných obmedzení, rozostup stolov v exteriéri najmenej 2 metre </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okienkový predaj a rozvoz</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Pre predaj jedál so sebou alebo prostredníctvom donáškovej služby neplatia obmedzenia.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Povolený len predaj zabalených jedál so sebou alebo prostredníctvom donáškovej služby.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FITNESS CENTRÁ</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1 zákazník na 15 metrov štvorcových alebo najviac 20 zákazníkov</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najviac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u w:val="single"/>
              </w:rP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50 zákazníkov alebo 1 zákazník na 15 m2</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10 zákazníkov alebo 1 zákazník na 25 m2</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20 zákazníkov alebo 1 zákazník na 15 m2</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Zakázané pre všetky režimy.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MÚZEÁ, GALÉRIE, VÝSTAVNÉ SIENE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individuálne prehliadky len do počtu 1 osoba na 15 metrov štvorcových</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hromadné prehliadky v skupinách bez kapacitných obmedzení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hromadné prehliadky v skupinách do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individuálne prehliadky s obmedzením 1 návštevník na 15 m2</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hromadné prehliadky v skupinách bez kapacitných obmedzení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individuálne prehliadky len do počtu 1 osoba na 15 metrov štvorcových</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individuálne prehliadky len do počtu 1 osoba na 15 metrov štvorcových</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zakázané</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lastRenderedPageBreak/>
              <w:br/>
            </w:r>
            <w:r>
              <w:rPr>
                <w:rFonts w:ascii="Arial" w:hAnsi="Arial" w:cs="Arial"/>
                <w:b/>
                <w:bCs/>
                <w:color w:val="333333"/>
                <w:sz w:val="20"/>
                <w:szCs w:val="20"/>
              </w:rPr>
              <w:br/>
              <w:t>WELLNESS, AKVAPARKY, PRÍRODNÉ A LIEČEBNÉ KÚPELE</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Liečebne na predpis lekára: neplatia kapacitné obmedzenia</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Oranžové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bez kapacitného limitu</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maximálne 50 % kapacity, najviac 1000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nesmie sa používať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Červené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Zaočkovaní:</w:t>
            </w:r>
            <w:r>
              <w:rPr>
                <w:rFonts w:ascii="Arial" w:hAnsi="Arial" w:cs="Arial"/>
                <w:color w:val="333333"/>
                <w:sz w:val="20"/>
                <w:szCs w:val="20"/>
              </w:rPr>
              <w:t xml:space="preserve"> pre zákazníkov ubytovaných v týchto prevádzkach bez kapacitného limitu; ak nie sú ubytované v týchto prevádzkach, najviac 10 osôb</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OTP:</w:t>
            </w:r>
            <w:r>
              <w:rPr>
                <w:rFonts w:ascii="Arial" w:hAnsi="Arial" w:cs="Arial"/>
                <w:color w:val="333333"/>
                <w:sz w:val="20"/>
                <w:szCs w:val="20"/>
              </w:rPr>
              <w:t xml:space="preserve"> 10 osôb iba pre zákazníkov ubytovaných v týchto prevádzkach</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t>Základ:</w:t>
            </w:r>
            <w:r>
              <w:rPr>
                <w:rFonts w:ascii="Arial" w:hAnsi="Arial" w:cs="Arial"/>
                <w:color w:val="333333"/>
                <w:sz w:val="20"/>
                <w:szCs w:val="20"/>
              </w:rPr>
              <w:t xml:space="preserve"> nesmie sa používať</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Bordové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Činnosť povolená do 10 osôb len pre prevádzky, ktoré sú súčasťou ubytovacích zariadení a poskytujú služby len pre plne zaočkovaných ubytovaných hostí.</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Čierne okresy:</w:t>
            </w:r>
          </w:p>
          <w:p w:rsidR="005E45EB" w:rsidRDefault="005E45EB">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Zakázané pre všetky režimy</w:t>
            </w:r>
          </w:p>
          <w:p w:rsidR="005E45EB" w:rsidRDefault="005E45EB">
            <w:pPr>
              <w:pStyle w:val="Normlnywebov"/>
              <w:spacing w:before="0" w:beforeAutospacing="0" w:after="0" w:afterAutospacing="0"/>
              <w:jc w:val="center"/>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Úrad verejného zdravotníctva Slovenskej republiky</w:t>
            </w:r>
          </w:p>
          <w:p w:rsidR="005E45EB" w:rsidRDefault="005E45EB">
            <w:pPr>
              <w:pStyle w:val="Normlnywebov"/>
              <w:spacing w:before="0" w:beforeAutospacing="0" w:after="0" w:afterAutospacing="0"/>
              <w:jc w:val="center"/>
              <w:rPr>
                <w:rFonts w:ascii="Helvetica" w:hAnsi="Helvetica" w:cs="Helvetica"/>
                <w:color w:val="333333"/>
                <w:sz w:val="18"/>
                <w:szCs w:val="18"/>
              </w:rPr>
            </w:pPr>
            <w:r>
              <w:rPr>
                <w:rFonts w:ascii="Arial" w:hAnsi="Arial" w:cs="Arial"/>
                <w:b/>
                <w:bCs/>
                <w:color w:val="333333"/>
                <w:sz w:val="20"/>
                <w:szCs w:val="20"/>
              </w:rPr>
              <w:t>a regionálne úrady verejného zdravotníctva</w:t>
            </w:r>
          </w:p>
        </w:tc>
      </w:tr>
    </w:tbl>
    <w:p w:rsidR="005E45EB" w:rsidRDefault="005E45EB"/>
    <w:sectPr w:rsidR="005E4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EB"/>
    <w:rsid w:val="00042308"/>
    <w:rsid w:val="00055364"/>
    <w:rsid w:val="001978F0"/>
    <w:rsid w:val="00293B00"/>
    <w:rsid w:val="002A24ED"/>
    <w:rsid w:val="0036799F"/>
    <w:rsid w:val="00376721"/>
    <w:rsid w:val="003D62F0"/>
    <w:rsid w:val="004D3580"/>
    <w:rsid w:val="004E3C04"/>
    <w:rsid w:val="005105CB"/>
    <w:rsid w:val="005501FA"/>
    <w:rsid w:val="00561EE4"/>
    <w:rsid w:val="005B6259"/>
    <w:rsid w:val="005E45EB"/>
    <w:rsid w:val="006362B3"/>
    <w:rsid w:val="00637DCC"/>
    <w:rsid w:val="0068198F"/>
    <w:rsid w:val="006A0B7E"/>
    <w:rsid w:val="0077252D"/>
    <w:rsid w:val="00807273"/>
    <w:rsid w:val="0088289C"/>
    <w:rsid w:val="008B3C30"/>
    <w:rsid w:val="008C7893"/>
    <w:rsid w:val="008D5FE5"/>
    <w:rsid w:val="00925880"/>
    <w:rsid w:val="00930376"/>
    <w:rsid w:val="00943202"/>
    <w:rsid w:val="00963E3F"/>
    <w:rsid w:val="00A35158"/>
    <w:rsid w:val="00A75176"/>
    <w:rsid w:val="00AB6890"/>
    <w:rsid w:val="00AE4AA3"/>
    <w:rsid w:val="00BC1C18"/>
    <w:rsid w:val="00C24468"/>
    <w:rsid w:val="00C35DF7"/>
    <w:rsid w:val="00C772B5"/>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5E45EB"/>
    <w:rPr>
      <w:color w:val="0000FF" w:themeColor="hyperlink"/>
      <w:u w:val="single"/>
    </w:rPr>
  </w:style>
  <w:style w:type="paragraph" w:styleId="Normlnywebov">
    <w:name w:val="Normal (Web)"/>
    <w:basedOn w:val="Normlny"/>
    <w:uiPriority w:val="99"/>
    <w:unhideWhenUsed/>
    <w:rsid w:val="005E45E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E45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4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5E45EB"/>
    <w:rPr>
      <w:color w:val="0000FF" w:themeColor="hyperlink"/>
      <w:u w:val="single"/>
    </w:rPr>
  </w:style>
  <w:style w:type="paragraph" w:styleId="Normlnywebov">
    <w:name w:val="Normal (Web)"/>
    <w:basedOn w:val="Normlny"/>
    <w:uiPriority w:val="99"/>
    <w:unhideWhenUsed/>
    <w:rsid w:val="005E45E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E45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4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3682">
      <w:bodyDiv w:val="1"/>
      <w:marLeft w:val="0"/>
      <w:marRight w:val="0"/>
      <w:marTop w:val="0"/>
      <w:marBottom w:val="150"/>
      <w:divBdr>
        <w:top w:val="none" w:sz="0" w:space="0" w:color="auto"/>
        <w:left w:val="none" w:sz="0" w:space="0" w:color="auto"/>
        <w:bottom w:val="none" w:sz="0" w:space="0" w:color="auto"/>
        <w:right w:val="none" w:sz="0" w:space="0" w:color="auto"/>
      </w:divBdr>
      <w:divsChild>
        <w:div w:id="1817260526">
          <w:marLeft w:val="0"/>
          <w:marRight w:val="0"/>
          <w:marTop w:val="0"/>
          <w:marBottom w:val="0"/>
          <w:divBdr>
            <w:top w:val="none" w:sz="0" w:space="0" w:color="auto"/>
            <w:left w:val="none" w:sz="0" w:space="0" w:color="auto"/>
            <w:bottom w:val="none" w:sz="0" w:space="0" w:color="auto"/>
            <w:right w:val="none" w:sz="0" w:space="0" w:color="auto"/>
          </w:divBdr>
          <w:divsChild>
            <w:div w:id="2140952645">
              <w:marLeft w:val="0"/>
              <w:marRight w:val="0"/>
              <w:marTop w:val="0"/>
              <w:marBottom w:val="0"/>
              <w:divBdr>
                <w:top w:val="none" w:sz="0" w:space="0" w:color="auto"/>
                <w:left w:val="none" w:sz="0" w:space="0" w:color="auto"/>
                <w:bottom w:val="none" w:sz="0" w:space="0" w:color="auto"/>
                <w:right w:val="none" w:sz="0" w:space="0" w:color="auto"/>
              </w:divBdr>
              <w:divsChild>
                <w:div w:id="1348600131">
                  <w:marLeft w:val="0"/>
                  <w:marRight w:val="0"/>
                  <w:marTop w:val="0"/>
                  <w:marBottom w:val="0"/>
                  <w:divBdr>
                    <w:top w:val="none" w:sz="0" w:space="0" w:color="auto"/>
                    <w:left w:val="none" w:sz="0" w:space="0" w:color="auto"/>
                    <w:bottom w:val="none" w:sz="0" w:space="0" w:color="auto"/>
                    <w:right w:val="none" w:sz="0" w:space="0" w:color="auto"/>
                  </w:divBdr>
                  <w:divsChild>
                    <w:div w:id="1395007365">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zsr.sk/index.php?option=com_mailto&amp;tmpl=component&amp;link=49f51f7660ab8ac4c6aa4fe04fa33ccc1f7d953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kulturnysemafor.sk/" TargetMode="External"/><Relationship Id="rId5" Type="http://schemas.openxmlformats.org/officeDocument/2006/relationships/hyperlink" Target="https://www.uvzsr.sk/index.php?view=article&amp;catid=56:tlaove-spravy&amp;id=4897:opatrenia-platne-v-oranovych-ervenych-bordovych-a-iernych-okresoch&amp;tmpl=component&amp;print=1&amp;layout=default&amp;page=&amp;option=com_content&amp;Itemid=62" TargetMode="External"/><Relationship Id="rId10" Type="http://schemas.openxmlformats.org/officeDocument/2006/relationships/hyperlink" Target="https://www.minv.sk/swift_data/source/verejna_sprava/vestnik_vlady_sr_rok_2021/vyhlaska_250.pdf" TargetMode="External"/><Relationship Id="rId4" Type="http://schemas.openxmlformats.org/officeDocument/2006/relationships/webSettings" Target="webSettings.xml"/><Relationship Id="rId9" Type="http://schemas.openxmlformats.org/officeDocument/2006/relationships/hyperlink" Target="https://www.uvzsr.sk/index.php?option=com_content&amp;view=category&amp;id=56:tlaove-spravy&amp;layout=blog&amp;Itemid=6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2562</Words>
  <Characters>14605</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xy</cp:lastModifiedBy>
  <cp:revision>2</cp:revision>
  <cp:lastPrinted>2021-10-20T06:45:00Z</cp:lastPrinted>
  <dcterms:created xsi:type="dcterms:W3CDTF">2021-10-20T06:46:00Z</dcterms:created>
  <dcterms:modified xsi:type="dcterms:W3CDTF">2021-10-20T06:46:00Z</dcterms:modified>
</cp:coreProperties>
</file>