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5617" w:rsidRDefault="00875617">
      <w:r>
        <w:fldChar w:fldCharType="begin"/>
      </w:r>
      <w:r>
        <w:instrText xml:space="preserve"> HYPERLINK "</w:instrText>
      </w:r>
      <w:r w:rsidRPr="00875617">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9675A1">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p w:rsidR="00875617" w:rsidRPr="00875617" w:rsidRDefault="00875617">
      <w:pPr>
        <w:rPr>
          <w:b/>
        </w:rPr>
      </w:pPr>
      <w:r w:rsidRPr="00875617">
        <w:rPr>
          <w:b/>
        </w:rPr>
        <w:t>stiahnuté z web 02_06_2020_aktualizované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75617" w:rsidRPr="00875617" w:rsidTr="00875617">
        <w:trPr>
          <w:tblCellSpacing w:w="15" w:type="dxa"/>
        </w:trPr>
        <w:tc>
          <w:tcPr>
            <w:tcW w:w="4673" w:type="pct"/>
            <w:vAlign w:val="center"/>
            <w:hideMark/>
          </w:tcPr>
          <w:p w:rsidR="00875617" w:rsidRPr="00875617" w:rsidRDefault="00875617" w:rsidP="00875617">
            <w:pPr>
              <w:spacing w:after="0" w:line="240" w:lineRule="auto"/>
              <w:rPr>
                <w:rFonts w:ascii="Helvetica" w:eastAsia="Times New Roman" w:hAnsi="Helvetica" w:cs="Helvetica"/>
                <w:color w:val="669900"/>
                <w:sz w:val="27"/>
                <w:szCs w:val="27"/>
                <w:lang w:eastAsia="sk-SK"/>
              </w:rPr>
            </w:pPr>
            <w:r w:rsidRPr="00875617">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183AFBC" wp14:editId="03F976E6">
                  <wp:extent cx="128905" cy="128905"/>
                  <wp:effectExtent l="0" t="0" r="4445" b="4445"/>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453007E" wp14:editId="4F469852">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875617" w:rsidRPr="00875617" w:rsidRDefault="00875617" w:rsidP="0087561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75617" w:rsidRPr="00875617" w:rsidTr="00875617">
        <w:trPr>
          <w:tblCellSpacing w:w="15" w:type="dxa"/>
        </w:trPr>
        <w:tc>
          <w:tcPr>
            <w:tcW w:w="0" w:type="auto"/>
            <w:hideMark/>
          </w:tcPr>
          <w:p w:rsidR="00875617" w:rsidRPr="00875617" w:rsidRDefault="00875617" w:rsidP="00875617">
            <w:pPr>
              <w:spacing w:after="0" w:line="240" w:lineRule="auto"/>
              <w:rPr>
                <w:rFonts w:ascii="Arial" w:eastAsia="Times New Roman" w:hAnsi="Arial" w:cs="Arial"/>
                <w:color w:val="999999"/>
                <w:sz w:val="14"/>
                <w:szCs w:val="14"/>
                <w:lang w:eastAsia="sk-SK"/>
              </w:rPr>
            </w:pPr>
            <w:r w:rsidRPr="00875617">
              <w:rPr>
                <w:rFonts w:ascii="Arial" w:eastAsia="Times New Roman" w:hAnsi="Arial" w:cs="Arial"/>
                <w:color w:val="999999"/>
                <w:sz w:val="14"/>
                <w:szCs w:val="14"/>
                <w:lang w:eastAsia="sk-SK"/>
              </w:rPr>
              <w:t xml:space="preserve">Piatok, 03 Apríl 2020 14:00 </w:t>
            </w:r>
          </w:p>
        </w:tc>
      </w:tr>
      <w:tr w:rsidR="00875617" w:rsidRPr="00875617" w:rsidTr="00875617">
        <w:trPr>
          <w:tblCellSpacing w:w="15" w:type="dxa"/>
        </w:trPr>
        <w:tc>
          <w:tcPr>
            <w:tcW w:w="0" w:type="auto"/>
            <w:hideMark/>
          </w:tcPr>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shd w:val="clear" w:color="auto" w:fill="FFFF00"/>
                <w:lang w:eastAsia="sk-SK"/>
              </w:rPr>
              <w:t>Aktualizované o rozšírenie výnimiek z karantény pre ľudí obvykle sa zdržiavajúcich v ČR alebo Maďarsku.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Opatrenia proti šíreniu ochorenia </w:t>
            </w:r>
            <w:hyperlink r:id="rId10"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color w:val="333333"/>
                <w:sz w:val="20"/>
                <w:szCs w:val="20"/>
                <w:lang w:eastAsia="sk-SK"/>
              </w:rPr>
              <w:t xml:space="preserve"> sa </w:t>
            </w:r>
            <w:hyperlink r:id="rId11" w:history="1">
              <w:r w:rsidRPr="00875617">
                <w:rPr>
                  <w:rFonts w:ascii="Arial" w:eastAsia="Times New Roman" w:hAnsi="Arial" w:cs="Arial"/>
                  <w:b/>
                  <w:bCs/>
                  <w:color w:val="135CAE"/>
                  <w:sz w:val="20"/>
                  <w:szCs w:val="20"/>
                  <w:u w:val="single"/>
                  <w:lang w:eastAsia="sk-SK"/>
                </w:rPr>
                <w:t>postupne uvoľňujú</w:t>
              </w:r>
            </w:hyperlink>
            <w:r w:rsidRPr="00875617">
              <w:rPr>
                <w:rFonts w:ascii="Arial" w:eastAsia="Times New Roman" w:hAnsi="Arial" w:cs="Arial"/>
                <w:color w:val="333333"/>
                <w:sz w:val="20"/>
                <w:szCs w:val="20"/>
                <w:lang w:eastAsia="sk-SK"/>
              </w:rPr>
              <w:t xml:space="preserve">, pandémia však stále pretrváva. </w:t>
            </w:r>
            <w:r w:rsidRPr="00875617">
              <w:rPr>
                <w:rFonts w:ascii="Arial" w:eastAsia="Times New Roman" w:hAnsi="Arial" w:cs="Arial"/>
                <w:b/>
                <w:bCs/>
                <w:color w:val="333333"/>
                <w:sz w:val="20"/>
                <w:szCs w:val="20"/>
                <w:lang w:eastAsia="sk-SK"/>
              </w:rPr>
              <w:t>Jedným z kľúčových preventívnych opatrení je</w:t>
            </w:r>
            <w:r w:rsidRPr="00875617">
              <w:rPr>
                <w:rFonts w:ascii="Arial" w:eastAsia="Times New Roman" w:hAnsi="Arial" w:cs="Arial"/>
                <w:color w:val="333333"/>
                <w:sz w:val="20"/>
                <w:szCs w:val="20"/>
                <w:lang w:eastAsia="sk-SK"/>
              </w:rPr>
              <w:t xml:space="preserve"> </w:t>
            </w:r>
            <w:hyperlink r:id="rId12" w:history="1">
              <w:r w:rsidRPr="00875617">
                <w:rPr>
                  <w:rFonts w:ascii="Arial" w:eastAsia="Times New Roman" w:hAnsi="Arial" w:cs="Arial"/>
                  <w:b/>
                  <w:bCs/>
                  <w:color w:val="135CAE"/>
                  <w:sz w:val="20"/>
                  <w:szCs w:val="20"/>
                  <w:u w:val="single"/>
                  <w:lang w:eastAsia="sk-SK"/>
                </w:rPr>
                <w:t>nosenie rúšok na verejnosti</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875617">
              <w:rPr>
                <w:rFonts w:ascii="Arial" w:eastAsia="Times New Roman" w:hAnsi="Arial" w:cs="Arial"/>
                <w:b/>
                <w:bCs/>
                <w:color w:val="333333"/>
                <w:sz w:val="20"/>
                <w:szCs w:val="20"/>
                <w:lang w:eastAsia="sk-SK"/>
              </w:rPr>
              <w:t xml:space="preserve">Ďalšími dôležitými krokmi v boji proti ochoreniu COVID-19 sú dôkladné </w:t>
            </w:r>
            <w:hyperlink r:id="rId13" w:history="1">
              <w:r w:rsidRPr="00875617">
                <w:rPr>
                  <w:rFonts w:ascii="Arial" w:eastAsia="Times New Roman" w:hAnsi="Arial" w:cs="Arial"/>
                  <w:b/>
                  <w:bCs/>
                  <w:color w:val="135CAE"/>
                  <w:sz w:val="20"/>
                  <w:szCs w:val="20"/>
                  <w:u w:val="single"/>
                  <w:lang w:eastAsia="sk-SK"/>
                </w:rPr>
                <w:t>umývanie rúk</w:t>
              </w:r>
            </w:hyperlink>
            <w:r w:rsidRPr="00875617">
              <w:rPr>
                <w:rFonts w:ascii="Arial" w:eastAsia="Times New Roman" w:hAnsi="Arial" w:cs="Arial"/>
                <w:b/>
                <w:bCs/>
                <w:color w:val="333333"/>
                <w:sz w:val="20"/>
                <w:szCs w:val="20"/>
                <w:lang w:eastAsia="sk-SK"/>
              </w:rPr>
              <w:t xml:space="preserve"> a dodržiavanie dostatočného </w:t>
            </w:r>
            <w:hyperlink r:id="rId14" w:history="1">
              <w:r w:rsidRPr="00875617">
                <w:rPr>
                  <w:rFonts w:ascii="Arial" w:eastAsia="Times New Roman" w:hAnsi="Arial" w:cs="Arial"/>
                  <w:b/>
                  <w:bCs/>
                  <w:color w:val="135CAE"/>
                  <w:sz w:val="20"/>
                  <w:szCs w:val="20"/>
                  <w:u w:val="single"/>
                  <w:lang w:eastAsia="sk-SK"/>
                </w:rPr>
                <w:t>sociálneho odstupu</w:t>
              </w:r>
            </w:hyperlink>
            <w:r w:rsidRPr="00875617">
              <w:rPr>
                <w:rFonts w:ascii="Arial" w:eastAsia="Times New Roman" w:hAnsi="Arial" w:cs="Arial"/>
                <w:b/>
                <w:bCs/>
                <w:color w:val="333333"/>
                <w:sz w:val="20"/>
                <w:szCs w:val="20"/>
                <w:lang w:eastAsia="sk-SK"/>
              </w:rPr>
              <w:t>. Dbajme na základné hygienické opatrenia doma, v exteriéri i </w:t>
            </w:r>
            <w:hyperlink r:id="rId15" w:tgtFrame="_blank" w:history="1">
              <w:r w:rsidRPr="00875617">
                <w:rPr>
                  <w:rFonts w:ascii="Arial" w:eastAsia="Times New Roman" w:hAnsi="Arial" w:cs="Arial"/>
                  <w:b/>
                  <w:bCs/>
                  <w:color w:val="135CAE"/>
                  <w:sz w:val="20"/>
                  <w:szCs w:val="20"/>
                  <w:lang w:eastAsia="sk-SK"/>
                </w:rPr>
                <w:t>na pracovisku</w:t>
              </w:r>
            </w:hyperlink>
            <w:r w:rsidRPr="00875617">
              <w:rPr>
                <w:rFonts w:ascii="Arial" w:eastAsia="Times New Roman" w:hAnsi="Arial" w:cs="Arial"/>
                <w:color w:val="333333"/>
                <w:sz w:val="20"/>
                <w:szCs w:val="20"/>
                <w:lang w:eastAsia="sk-SK"/>
              </w:rPr>
              <w:t xml:space="preserve">. Ochorenie COVID-19 môže prenášať i človek, ktorý nemá príznaky. </w:t>
            </w:r>
            <w:r w:rsidRPr="00875617">
              <w:rPr>
                <w:rFonts w:ascii="Arial" w:eastAsia="Times New Roman" w:hAnsi="Arial" w:cs="Arial"/>
                <w:b/>
                <w:bCs/>
                <w:color w:val="333333"/>
                <w:sz w:val="20"/>
                <w:szCs w:val="20"/>
                <w:lang w:eastAsia="sk-SK"/>
              </w:rPr>
              <w:t>Seniorov nad 65 rokov,</w:t>
            </w:r>
            <w:r w:rsidRPr="00875617">
              <w:rPr>
                <w:rFonts w:ascii="Arial" w:eastAsia="Times New Roman" w:hAnsi="Arial" w:cs="Arial"/>
                <w:color w:val="333333"/>
                <w:sz w:val="20"/>
                <w:szCs w:val="20"/>
                <w:lang w:eastAsia="sk-SK"/>
              </w:rPr>
              <w:t xml:space="preserve"> ktorí sú najviac ohrozenou skupinou ochorením COVID-19, vyzývame, </w:t>
            </w:r>
            <w:r w:rsidRPr="00875617">
              <w:rPr>
                <w:rFonts w:ascii="Arial" w:eastAsia="Times New Roman" w:hAnsi="Arial" w:cs="Arial"/>
                <w:b/>
                <w:bCs/>
                <w:color w:val="333333"/>
                <w:sz w:val="20"/>
                <w:szCs w:val="20"/>
                <w:lang w:eastAsia="sk-SK"/>
              </w:rPr>
              <w:t>aby naďalej využívali vyhradený nákupný čas v predajniach potravín a drogériách.</w:t>
            </w:r>
            <w:r w:rsidRPr="00875617">
              <w:rPr>
                <w:rFonts w:ascii="Arial" w:eastAsia="Times New Roman" w:hAnsi="Arial" w:cs="Arial"/>
                <w:color w:val="333333"/>
                <w:sz w:val="20"/>
                <w:szCs w:val="20"/>
                <w:lang w:eastAsia="sk-SK"/>
              </w:rPr>
              <w:t xml:space="preserve">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Užitočné informácie nájdete na webe </w:t>
            </w:r>
            <w:hyperlink r:id="rId16" w:history="1">
              <w:r w:rsidRPr="00875617">
                <w:rPr>
                  <w:rFonts w:ascii="Arial" w:eastAsia="Times New Roman" w:hAnsi="Arial" w:cs="Arial"/>
                  <w:b/>
                  <w:bCs/>
                  <w:color w:val="135CAE"/>
                  <w:sz w:val="20"/>
                  <w:szCs w:val="20"/>
                  <w:u w:val="single"/>
                  <w:lang w:eastAsia="sk-SK"/>
                </w:rPr>
                <w:t>www.korona.gov.sk</w:t>
              </w:r>
            </w:hyperlink>
            <w:r w:rsidRPr="00875617">
              <w:rPr>
                <w:rFonts w:ascii="Arial" w:eastAsia="Times New Roman" w:hAnsi="Arial" w:cs="Arial"/>
                <w:b/>
                <w:bCs/>
                <w:color w:val="333333"/>
                <w:sz w:val="20"/>
                <w:szCs w:val="20"/>
                <w:u w:val="single"/>
                <w:lang w:eastAsia="sk-SK"/>
              </w:rPr>
              <w:t xml:space="preserve">  </w:t>
            </w:r>
            <w:r w:rsidRPr="00875617">
              <w:rPr>
                <w:rFonts w:ascii="Arial" w:eastAsia="Times New Roman" w:hAnsi="Arial" w:cs="Arial"/>
                <w:color w:val="333333"/>
                <w:sz w:val="20"/>
                <w:szCs w:val="20"/>
                <w:lang w:eastAsia="sk-SK"/>
              </w:rPr>
              <w:t>a</w:t>
            </w:r>
            <w:r w:rsidRPr="00875617">
              <w:rPr>
                <w:rFonts w:ascii="Arial" w:eastAsia="Times New Roman" w:hAnsi="Arial" w:cs="Arial"/>
                <w:b/>
                <w:bCs/>
                <w:color w:val="333333"/>
                <w:sz w:val="20"/>
                <w:szCs w:val="20"/>
                <w:u w:val="single"/>
                <w:lang w:eastAsia="sk-SK"/>
              </w:rPr>
              <w:t xml:space="preserve"> v priečinku </w:t>
            </w:r>
            <w:hyperlink r:id="rId17"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b/>
                <w:bCs/>
                <w:color w:val="333333"/>
                <w:sz w:val="20"/>
                <w:szCs w:val="20"/>
                <w:u w:val="single"/>
                <w:lang w:eastAsia="sk-SK"/>
              </w:rPr>
              <w:t xml:space="preserve"> na webe ÚVZ SR. Štatistiku k aktuálnemu výskytu ochorenia COVID-19 </w:t>
            </w:r>
            <w:hyperlink r:id="rId18"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sidRPr="00875617">
              <w:rPr>
                <w:rFonts w:ascii="Arial" w:eastAsia="Times New Roman" w:hAnsi="Arial" w:cs="Arial"/>
                <w:b/>
                <w:bCs/>
                <w:color w:val="333333"/>
                <w:sz w:val="20"/>
                <w:szCs w:val="20"/>
                <w:lang w:eastAsia="sk-SK"/>
              </w:rPr>
              <w:t xml:space="preserve">Podrobnosti </w:t>
            </w:r>
            <w:hyperlink r:id="rId19"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Vzor potvrdenia o výkone zamestnania </w:t>
            </w:r>
            <w:hyperlink r:id="rId20"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Tzv. </w:t>
            </w:r>
            <w:r w:rsidRPr="00875617">
              <w:rPr>
                <w:rFonts w:ascii="Arial" w:eastAsia="Times New Roman" w:hAnsi="Arial" w:cs="Arial"/>
                <w:b/>
                <w:bCs/>
                <w:color w:val="333333"/>
                <w:sz w:val="20"/>
                <w:szCs w:val="20"/>
                <w:shd w:val="clear" w:color="auto" w:fill="808080"/>
                <w:lang w:eastAsia="sk-SK"/>
              </w:rPr>
              <w:t>smart domáca karanténa</w:t>
            </w:r>
            <w:r w:rsidRPr="00875617">
              <w:rPr>
                <w:rFonts w:ascii="Arial" w:eastAsia="Times New Roman" w:hAnsi="Arial" w:cs="Arial"/>
                <w:color w:val="333333"/>
                <w:sz w:val="20"/>
                <w:szCs w:val="20"/>
                <w:lang w:eastAsia="sk-SK"/>
              </w:rPr>
              <w:t> je</w:t>
            </w:r>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875617" w:rsidRDefault="00875617" w:rsidP="00875617">
            <w:pPr>
              <w:spacing w:after="0" w:line="240" w:lineRule="auto"/>
              <w:rPr>
                <w:rFonts w:ascii="Arial" w:eastAsia="Times New Roman" w:hAnsi="Arial" w:cs="Arial"/>
                <w:color w:val="333333"/>
                <w:sz w:val="20"/>
                <w:szCs w:val="20"/>
                <w:lang w:eastAsia="sk-SK"/>
              </w:rPr>
            </w:pPr>
            <w:r w:rsidRPr="00875617">
              <w:rPr>
                <w:rFonts w:ascii="Arial" w:eastAsia="Times New Roman" w:hAnsi="Arial" w:cs="Arial"/>
                <w:color w:val="333333"/>
                <w:sz w:val="20"/>
                <w:szCs w:val="20"/>
                <w:lang w:eastAsia="sk-SK"/>
              </w:rPr>
              <w:br/>
              <w:t xml:space="preserve">Aplikáciu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si môžu od nainštalovať aj osoby už umiestnené v štátnej karanténe a dokončiť tak 14-dňovú izoláciu v domácom prostredí. Potvrdenie aktivácie mobilnej aplikácie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1"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r w:rsidRPr="00875617">
              <w:rPr>
                <w:rFonts w:ascii="Arial" w:eastAsia="Times New Roman" w:hAnsi="Arial" w:cs="Arial"/>
                <w:color w:val="333333"/>
                <w:sz w:val="20"/>
                <w:szCs w:val="20"/>
                <w:lang w:eastAsia="sk-SK"/>
              </w:rPr>
              <w:br/>
            </w:r>
            <w:r w:rsidRPr="00875617">
              <w:rPr>
                <w:rFonts w:ascii="Arial" w:eastAsia="Times New Roman" w:hAnsi="Arial" w:cs="Arial"/>
                <w:color w:val="333333"/>
                <w:sz w:val="20"/>
                <w:szCs w:val="20"/>
                <w:lang w:eastAsia="sk-SK"/>
              </w:rPr>
              <w:br/>
              <w:t xml:space="preserve">Zásady domácej izolácie </w:t>
            </w:r>
            <w:hyperlink r:id="rId22"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lang w:eastAsia="sk-SK"/>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971403" w:rsidRPr="00971403" w:rsidTr="00971403">
              <w:trPr>
                <w:tblCellSpacing w:w="15" w:type="dxa"/>
              </w:trPr>
              <w:tc>
                <w:tcPr>
                  <w:tcW w:w="5000" w:type="pct"/>
                  <w:vAlign w:val="center"/>
                  <w:hideMark/>
                </w:tcPr>
                <w:p w:rsidR="00971403" w:rsidRPr="00971403" w:rsidRDefault="00971403" w:rsidP="00971403">
                  <w:pPr>
                    <w:spacing w:after="0" w:line="240" w:lineRule="auto"/>
                    <w:rPr>
                      <w:rFonts w:ascii="Helvetica" w:eastAsia="Times New Roman" w:hAnsi="Helvetica" w:cs="Helvetica"/>
                      <w:color w:val="669900"/>
                      <w:sz w:val="27"/>
                      <w:szCs w:val="27"/>
                      <w:lang w:eastAsia="sk-SK"/>
                    </w:rPr>
                  </w:pPr>
                  <w:r w:rsidRPr="00971403">
                    <w:rPr>
                      <w:rFonts w:ascii="Helvetica" w:eastAsia="Times New Roman" w:hAnsi="Helvetica" w:cs="Helvetica"/>
                      <w:color w:val="669900"/>
                      <w:sz w:val="27"/>
                      <w:szCs w:val="27"/>
                      <w:lang w:eastAsia="sk-SK"/>
                    </w:rPr>
                    <w:t xml:space="preserve">Usmernenie hlavného hygienika Slovenskej republiky pre verejnosť o karanténe </w:t>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4" name="Obrázok 4" descr="Tlačiť">
                          <a:hlinkClick xmlns:a="http://schemas.openxmlformats.org/drawingml/2006/main" r:id="rId23"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23"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3" name="Obrázok 3" descr="E-mail">
                          <a:hlinkClick xmlns:a="http://schemas.openxmlformats.org/drawingml/2006/main" r:id="rId2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24"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71403" w:rsidRPr="00971403" w:rsidRDefault="00971403" w:rsidP="00971403">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71403" w:rsidRPr="00971403" w:rsidTr="00971403">
              <w:trPr>
                <w:tblCellSpacing w:w="15" w:type="dxa"/>
              </w:trPr>
              <w:tc>
                <w:tcPr>
                  <w:tcW w:w="0" w:type="auto"/>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t xml:space="preserve">Utorok, 10 Marec 2020 14:25 </w:t>
                  </w:r>
                </w:p>
              </w:tc>
            </w:tr>
            <w:tr w:rsidR="00971403" w:rsidRPr="00971403" w:rsidTr="00971403">
              <w:trPr>
                <w:tblCellSpacing w:w="15" w:type="dxa"/>
              </w:trPr>
              <w:tc>
                <w:tcPr>
                  <w:tcW w:w="0" w:type="auto"/>
                  <w:hideMark/>
                </w:tcPr>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Osoba, ktorej bola nariadená domáca izolácia, alebo izolácia v zdravotníckom zariadení je povinná počas celej doby karantény (14 dní):</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sledovať svoj  zdravotný  stav (náhly nástup aspoň jedného z týchto príznakov: horúčka, kašeľ, dýchavičnosť) a v prípade objavenia sa príznakov bez meškania telefonicky kontaktovať ošetrujúceho lekára a miestne príslušný regionálny úrad verejného zdravotníctva (príloha č. 1) </w:t>
                  </w:r>
                  <w:r w:rsidRPr="00971403">
                    <w:rPr>
                      <w:rFonts w:ascii="Arial" w:eastAsia="Times New Roman" w:hAnsi="Arial" w:cs="Arial"/>
                      <w:color w:val="333333"/>
                      <w:sz w:val="20"/>
                      <w:szCs w:val="20"/>
                      <w:lang w:eastAsia="sk-SK"/>
                    </w:rPr>
                    <w:lastRenderedPageBreak/>
                    <w:t>a podrobiť sa odberu biologického materiálu,</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zostať v domácej  izolácii alebo v izolácii v zdravotníckom zariadení (podľa rozhodnutia hlavného hygienika SR alebo regionálneho hygienika),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sociálnych kontaktov (napr. návštev  kultúrnych, spoločenských, športových alebo iných hromadných podujatí alebo prijímania osôb alebo vykonávania spoločenských aktivít v mieste izolácie),</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cestovania,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účasti na výučbových aktivitách s výnimkou </w:t>
                  </w:r>
                  <w:proofErr w:type="spellStart"/>
                  <w:r w:rsidRPr="00971403">
                    <w:rPr>
                      <w:rFonts w:ascii="Arial" w:eastAsia="Times New Roman" w:hAnsi="Arial" w:cs="Arial"/>
                      <w:color w:val="333333"/>
                      <w:sz w:val="20"/>
                      <w:szCs w:val="20"/>
                      <w:lang w:eastAsia="sk-SK"/>
                    </w:rPr>
                    <w:t>e-learningových</w:t>
                  </w:r>
                  <w:proofErr w:type="spellEnd"/>
                  <w:r w:rsidRPr="00971403">
                    <w:rPr>
                      <w:rFonts w:ascii="Arial" w:eastAsia="Times New Roman" w:hAnsi="Arial" w:cs="Arial"/>
                      <w:color w:val="333333"/>
                      <w:sz w:val="20"/>
                      <w:szCs w:val="20"/>
                      <w:lang w:eastAsia="sk-SK"/>
                    </w:rPr>
                    <w:t xml:space="preserve"> foriem,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pracovnej  činnosti s výnimkou práce v mieste domácej izolácie,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akýchkoľvek činností, ktoré si vyžadujú opustiť miesto izolácie alebo prijímať, v mieste izolácie vnímavé osoby.</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 xml:space="preserve">Ak Úrad verejného zdravotníctva SR alebo príslušný regionálny úrad verejného zdravotníctva nariadi fyzickej osobe karanténu, táto fyzická osoba je karanténu povinná dodržiavať, v opačnom prípade sa podľa zákona č. 355/ 2007 Z. z. dopúšťa priestupku na úseku verejného zdravotníctva a hrozí jej pokuta až do výšky 1659 eur. Zároveň v kontexte uvedeného je potrebné poukázať aj na skutkovú podstatu trestného činu šírenia nebezpečnej nákazlivej ľudskej choroby. </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Fyzická osoba je povinná podľa § 51 ods. 1 písm. c) zákona č. 355/2007 Z. z. oznámiť neodkladne ošetrujúcemu lekárovi a regionálnemu úradu verejného zdravotníctva v SR všetky okolnosti dôležité na predchádzanie vzniku a šírenia prenosných ochorení a poskytovať informácie dôležité pre epidemiologické vyšetrenie a posudzovanie ochorení vo vzťahu k vykonávanej práci. Z uvedeného ustanovenia zákona vyplýva, že aj informácia týkajúca sa cestovateľskej anamnézy je dôležitá pre epidemiologické vyšetrovanie a zamlčanie tejto informácie je porušením predmetného ustanovenia a rovnako je to priestupok na úseku verejného zdravotníctva – hrozí pokuta až do výšky 1659 eur.</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Mgr. RNDr. MUDr. Ján Mikas, PhD.</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hlavný hygienik Slovenskej republiky</w:t>
                  </w: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 </w:t>
                  </w:r>
                </w:p>
                <w:tbl>
                  <w:tblPr>
                    <w:tblW w:w="9195" w:type="dxa"/>
                    <w:tblInd w:w="80" w:type="dxa"/>
                    <w:tblBorders>
                      <w:top w:val="single" w:sz="6" w:space="0" w:color="808080"/>
                      <w:left w:val="single" w:sz="6" w:space="0" w:color="808080"/>
                      <w:bottom w:val="single" w:sz="6" w:space="0" w:color="808080"/>
                      <w:right w:val="single" w:sz="6" w:space="0" w:color="808080"/>
                    </w:tblBorders>
                    <w:tblCellMar>
                      <w:top w:w="15" w:type="dxa"/>
                      <w:left w:w="60" w:type="dxa"/>
                      <w:bottom w:w="15" w:type="dxa"/>
                      <w:right w:w="60" w:type="dxa"/>
                    </w:tblCellMar>
                    <w:tblLook w:val="04A0" w:firstRow="1" w:lastRow="0" w:firstColumn="1" w:lastColumn="0" w:noHBand="0" w:noVBand="1"/>
                  </w:tblPr>
                  <w:tblGrid>
                    <w:gridCol w:w="518"/>
                    <w:gridCol w:w="4169"/>
                    <w:gridCol w:w="4508"/>
                  </w:tblGrid>
                  <w:tr w:rsidR="00971403" w:rsidRPr="00971403">
                    <w:trPr>
                      <w:trHeight w:val="646"/>
                    </w:trPr>
                    <w:tc>
                      <w:tcPr>
                        <w:tcW w:w="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8682" w:type="dxa"/>
                        <w:gridSpan w:val="2"/>
                        <w:tcBorders>
                          <w:top w:val="single" w:sz="8" w:space="0" w:color="auto"/>
                          <w:left w:val="nil"/>
                          <w:bottom w:val="single" w:sz="8" w:space="0" w:color="auto"/>
                          <w:right w:val="single" w:sz="8" w:space="0" w:color="000000"/>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Zoznam mobilných telefónnych čísel odborov/oddelení epidemiológie RÚVZ v SR</w:t>
                        </w:r>
                      </w:p>
                    </w:tc>
                  </w:tr>
                  <w:tr w:rsidR="00971403" w:rsidRPr="00971403">
                    <w:trPr>
                      <w:trHeight w:val="765"/>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4172"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RÚVZ</w:t>
                        </w:r>
                      </w:p>
                    </w:tc>
                    <w:tc>
                      <w:tcPr>
                        <w:tcW w:w="4510" w:type="dxa"/>
                        <w:tcBorders>
                          <w:top w:val="nil"/>
                          <w:left w:val="nil"/>
                          <w:bottom w:val="nil"/>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Odbor/oddelenie epidemiológie</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Banská Bystrica</w:t>
                        </w:r>
                      </w:p>
                    </w:tc>
                    <w:tc>
                      <w:tcPr>
                        <w:tcW w:w="4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0918 659 580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Bardejov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0917 121 946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Bratislava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0917 426 075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4</w:t>
                        </w:r>
                      </w:p>
                    </w:tc>
                    <w:tc>
                      <w:tcPr>
                        <w:tcW w:w="4172" w:type="dxa"/>
                        <w:tcBorders>
                          <w:top w:val="nil"/>
                          <w:left w:val="nil"/>
                          <w:bottom w:val="nil"/>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Čadca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0903 802 451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5</w:t>
                        </w:r>
                      </w:p>
                    </w:tc>
                    <w:tc>
                      <w:tcPr>
                        <w:tcW w:w="4172"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Dolný Kubín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0908 460 521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Dunajská Streda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0904 377 831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Galanta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0904 346 064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Humenné</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0908 868 796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Komárno</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0948 550 539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Košice</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0918 389 842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Levice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0918 842 969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Liptovský Mikuláš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0911 236 988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Lučenec</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0918 601 924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Martin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0911 514 878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Michalovce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0948 518 954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lastRenderedPageBreak/>
                          <w:t>16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Nitra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0948 495 915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Nové Zámky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0903 464 532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Poprad</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0911 635 260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Považská Bystrica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0911 727 930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Prešov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0911 908 823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Prievidza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0915 492 003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Rimavská Sobota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0918 542 763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Rožňava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0902 813 822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Senica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0907 169 312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Spišská Nová Ves</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0911 639 010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Stará Ľubovňa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0902 197 145, 0910 440 662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Svidník</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0911 614 378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Topoľčany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0948 118 005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Trebišov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0918 680 305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Trenčín</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0911 989 821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Trnava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0905 903 053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Veľký Krtíš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0905 285 057</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Vranov nad  Topľou</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0907 958 725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Zvolen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0905 475 854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Žiar nad Hronom</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0911 214 488</w:t>
                        </w:r>
                      </w:p>
                    </w:tc>
                  </w:tr>
                  <w:tr w:rsidR="00971403" w:rsidRPr="00971403">
                    <w:trPr>
                      <w:trHeight w:val="318"/>
                    </w:trPr>
                    <w:tc>
                      <w:tcPr>
                        <w:tcW w:w="518" w:type="dxa"/>
                        <w:tcBorders>
                          <w:top w:val="nil"/>
                          <w:left w:val="single" w:sz="8" w:space="0" w:color="808080"/>
                          <w:bottom w:val="single" w:sz="8" w:space="0" w:color="808080"/>
                          <w:right w:val="single" w:sz="8" w:space="0" w:color="808080"/>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Žilina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0911 600 203</w:t>
                        </w:r>
                      </w:p>
                    </w:tc>
                  </w:tr>
                </w:tbl>
                <w:p w:rsidR="00971403" w:rsidRPr="00971403" w:rsidRDefault="00971403" w:rsidP="00971403">
                  <w:pPr>
                    <w:spacing w:after="0" w:line="240" w:lineRule="auto"/>
                    <w:rPr>
                      <w:rFonts w:ascii="Helvetica" w:eastAsia="Times New Roman" w:hAnsi="Helvetica" w:cs="Helvetica"/>
                      <w:color w:val="333333"/>
                      <w:sz w:val="18"/>
                      <w:szCs w:val="18"/>
                      <w:lang w:eastAsia="sk-SK"/>
                    </w:rPr>
                  </w:pPr>
                </w:p>
              </w:tc>
            </w:tr>
            <w:tr w:rsidR="00971403" w:rsidRPr="00971403" w:rsidTr="00971403">
              <w:trPr>
                <w:tblCellSpacing w:w="15" w:type="dxa"/>
              </w:trPr>
              <w:tc>
                <w:tcPr>
                  <w:tcW w:w="0" w:type="auto"/>
                  <w:vAlign w:val="center"/>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lastRenderedPageBreak/>
                    <w:t xml:space="preserve">Posledná úprava Pondelok, 16 Marec 2020 14:52 </w:t>
                  </w:r>
                </w:p>
              </w:tc>
            </w:tr>
          </w:tbl>
          <w:p w:rsidR="00971403" w:rsidRPr="00875617" w:rsidRDefault="00971403" w:rsidP="00875617">
            <w:pPr>
              <w:spacing w:after="0" w:line="240" w:lineRule="auto"/>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shd w:val="clear" w:color="auto" w:fill="808080"/>
                <w:lang w:eastAsia="sk-SK"/>
              </w:rPr>
              <w:br/>
              <w:t xml:space="preserve">Podrobný manuál k smart karanténe </w:t>
            </w:r>
            <w:hyperlink r:id="rId25" w:history="1">
              <w:r w:rsidRPr="00875617">
                <w:rPr>
                  <w:rFonts w:ascii="Arial" w:eastAsia="Times New Roman" w:hAnsi="Arial" w:cs="Arial"/>
                  <w:b/>
                  <w:bCs/>
                  <w:color w:val="135CAE"/>
                  <w:sz w:val="20"/>
                  <w:szCs w:val="20"/>
                  <w:u w:val="single"/>
                  <w:shd w:val="clear" w:color="auto" w:fill="808080"/>
                  <w:lang w:eastAsia="sk-SK"/>
                </w:rPr>
                <w:t>nájdete tu</w:t>
              </w:r>
            </w:hyperlink>
            <w:r w:rsidRPr="00875617">
              <w:rPr>
                <w:rFonts w:ascii="Arial" w:eastAsia="Times New Roman" w:hAnsi="Arial" w:cs="Arial"/>
                <w:color w:val="333333"/>
                <w:sz w:val="20"/>
                <w:szCs w:val="20"/>
                <w:u w:val="single"/>
                <w:shd w:val="clear" w:color="auto" w:fill="808080"/>
                <w:lang w:eastAsia="sk-SK"/>
              </w:rPr>
              <w:t>.</w:t>
            </w:r>
            <w:r w:rsidRPr="00875617">
              <w:rPr>
                <w:rFonts w:ascii="Arial" w:eastAsia="Times New Roman" w:hAnsi="Arial" w:cs="Arial"/>
                <w:color w:val="333333"/>
                <w:sz w:val="20"/>
                <w:szCs w:val="20"/>
                <w:shd w:val="clear" w:color="auto" w:fill="808080"/>
                <w:lang w:eastAsia="sk-SK"/>
              </w:rPr>
              <w:t xml:space="preserve"> Otázky súvisiace s domácou smart karanténou vám zodpovedajú na telefónnom čísle </w:t>
            </w:r>
            <w:r w:rsidRPr="00875617">
              <w:rPr>
                <w:rFonts w:ascii="Arial" w:eastAsia="Times New Roman" w:hAnsi="Arial" w:cs="Arial"/>
                <w:b/>
                <w:bCs/>
                <w:color w:val="333333"/>
                <w:sz w:val="20"/>
                <w:szCs w:val="20"/>
                <w:shd w:val="clear" w:color="auto" w:fill="808080"/>
                <w:lang w:eastAsia="sk-SK"/>
              </w:rPr>
              <w:t>0800 221 234.</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Osoby s trvalým alebo prechodným pobytom na území Slovenskej republiky môžu </w:t>
            </w:r>
            <w:r w:rsidRPr="00875617">
              <w:rPr>
                <w:rFonts w:ascii="Arial" w:eastAsia="Times New Roman" w:hAnsi="Arial" w:cs="Arial"/>
                <w:b/>
                <w:bCs/>
                <w:color w:val="333333"/>
                <w:sz w:val="20"/>
                <w:szCs w:val="20"/>
                <w:lang w:eastAsia="sk-SK"/>
              </w:rPr>
              <w:t>od stredy 27. mája</w:t>
            </w:r>
            <w:r w:rsidRPr="00875617">
              <w:rPr>
                <w:rFonts w:ascii="Arial" w:eastAsia="Times New Roman" w:hAnsi="Arial" w:cs="Arial"/>
                <w:color w:val="333333"/>
                <w:sz w:val="20"/>
                <w:szCs w:val="20"/>
                <w:lang w:eastAsia="sk-SK"/>
              </w:rPr>
              <w:t xml:space="preserve">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sidRPr="00875617">
              <w:rPr>
                <w:rFonts w:ascii="Arial" w:eastAsia="Times New Roman" w:hAnsi="Arial" w:cs="Arial"/>
                <w:b/>
                <w:bCs/>
                <w:color w:val="333333"/>
                <w:sz w:val="20"/>
                <w:szCs w:val="20"/>
                <w:lang w:eastAsia="sk-SK"/>
              </w:rPr>
              <w:t>48 hodín</w:t>
            </w:r>
            <w:r w:rsidRPr="00875617">
              <w:rPr>
                <w:rFonts w:ascii="Arial" w:eastAsia="Times New Roman" w:hAnsi="Arial" w:cs="Arial"/>
                <w:color w:val="333333"/>
                <w:sz w:val="20"/>
                <w:szCs w:val="20"/>
                <w:lang w:eastAsia="sk-SK"/>
              </w:rPr>
              <w:t>. </w:t>
            </w:r>
            <w:hyperlink r:id="rId26" w:history="1">
              <w:r w:rsidRPr="00875617">
                <w:rPr>
                  <w:rFonts w:ascii="Arial" w:eastAsia="Times New Roman" w:hAnsi="Arial" w:cs="Arial"/>
                  <w:b/>
                  <w:bCs/>
                  <w:color w:val="135CAE"/>
                  <w:sz w:val="20"/>
                  <w:szCs w:val="20"/>
                  <w:lang w:eastAsia="sk-SK"/>
                </w:rPr>
                <w:t>Podrobnosti nájdete tu</w:t>
              </w:r>
            </w:hyperlink>
            <w:r w:rsidRPr="00875617">
              <w:rPr>
                <w:rFonts w:ascii="Arial" w:eastAsia="Times New Roman" w:hAnsi="Arial" w:cs="Arial"/>
                <w:color w:val="333333"/>
                <w:sz w:val="20"/>
                <w:szCs w:val="20"/>
                <w:u w:val="single"/>
                <w:lang w:eastAsia="sk-SK"/>
              </w:rPr>
              <w:t xml:space="preserve"> a </w:t>
            </w:r>
            <w:hyperlink r:id="rId27" w:history="1">
              <w:r w:rsidRPr="00875617">
                <w:rPr>
                  <w:rFonts w:ascii="Arial" w:eastAsia="Times New Roman" w:hAnsi="Arial" w:cs="Arial"/>
                  <w:b/>
                  <w:bCs/>
                  <w:color w:val="135CAE"/>
                  <w:sz w:val="20"/>
                  <w:szCs w:val="20"/>
                  <w:lang w:eastAsia="sk-SK"/>
                </w:rPr>
                <w:t>aktualizované opatrenie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18"/>
                <w:szCs w:val="18"/>
                <w:lang w:eastAsia="sk-SK"/>
              </w:rPr>
              <w:br/>
            </w:r>
            <w:r w:rsidRPr="00875617">
              <w:rPr>
                <w:rFonts w:ascii="Arial" w:eastAsia="Times New Roman" w:hAnsi="Arial" w:cs="Arial"/>
                <w:b/>
                <w:bCs/>
                <w:color w:val="333333"/>
                <w:sz w:val="20"/>
                <w:szCs w:val="20"/>
                <w:lang w:eastAsia="sk-SK"/>
              </w:rPr>
              <w:t xml:space="preserve">Tlačivo o prekročení hraníc nájdete </w:t>
            </w:r>
            <w:hyperlink r:id="rId28" w:history="1">
              <w:r w:rsidRPr="00875617">
                <w:rPr>
                  <w:rFonts w:ascii="Arial" w:eastAsia="Times New Roman" w:hAnsi="Arial" w:cs="Arial"/>
                  <w:b/>
                  <w:bCs/>
                  <w:color w:val="135CAE"/>
                  <w:sz w:val="20"/>
                  <w:szCs w:val="20"/>
                  <w:lang w:eastAsia="sk-SK"/>
                </w:rPr>
                <w:t>na stiahnutie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Dodržanie 48-hodinovej lehoty sú tieto osoby povinné preukázať príslušníkovi policajného zboru pri hraničnej kontrole. </w:t>
            </w:r>
            <w:hyperlink r:id="rId29"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Na územie Slovenskej republiky môžu od 2.6.2020 od 7:00 bez povinnosti domácej a štátnej karantény a bez preukázania sa negatívnym testom, prísť na najviac 48 hodín aj osoby, ktoré sa na </w:t>
            </w:r>
            <w:r w:rsidRPr="00875617">
              <w:rPr>
                <w:rFonts w:ascii="Arial" w:eastAsia="Times New Roman" w:hAnsi="Arial" w:cs="Arial"/>
                <w:color w:val="333333"/>
                <w:sz w:val="20"/>
                <w:szCs w:val="20"/>
                <w:lang w:eastAsia="sk-SK"/>
              </w:rPr>
              <w:lastRenderedPageBreak/>
              <w:t>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30"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color w:val="333333"/>
                <w:sz w:val="20"/>
                <w:szCs w:val="20"/>
                <w:lang w:eastAsia="sk-SK"/>
              </w:rPr>
              <w:t>Pred cestou odporúčame preveriť si možnosti a podmienky vstupu do jednotlivých krajín.</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Helvetica" w:eastAsia="Times New Roman" w:hAnsi="Helvetica" w:cs="Helvetica"/>
                <w:b/>
                <w:bCs/>
                <w:color w:val="333333"/>
                <w:sz w:val="24"/>
                <w:szCs w:val="24"/>
                <w:u w:val="single"/>
                <w:lang w:eastAsia="sk-SK"/>
              </w:rPr>
              <w:br/>
              <w:t>Rúška:</w:t>
            </w:r>
          </w:p>
          <w:p w:rsidR="00875617" w:rsidRPr="00875617" w:rsidRDefault="00875617" w:rsidP="00875617">
            <w:pPr>
              <w:spacing w:after="0" w:line="240" w:lineRule="auto"/>
              <w:jc w:val="both"/>
              <w:rPr>
                <w:rFonts w:ascii="Verdana" w:eastAsia="Times New Roman" w:hAnsi="Verdana" w:cs="Helvetica"/>
                <w:color w:val="000000"/>
                <w:sz w:val="17"/>
                <w:szCs w:val="17"/>
                <w:lang w:eastAsia="sk-SK"/>
              </w:rPr>
            </w:pPr>
            <w:r w:rsidRPr="00875617">
              <w:rPr>
                <w:rFonts w:ascii="Arial" w:eastAsia="Times New Roman" w:hAnsi="Arial" w:cs="Arial"/>
                <w:color w:val="000000"/>
                <w:sz w:val="20"/>
                <w:szCs w:val="20"/>
                <w:lang w:eastAsia="sk-SK"/>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31"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color w:val="000000"/>
                <w:sz w:val="20"/>
                <w:szCs w:val="20"/>
                <w:lang w:eastAsia="sk-SK"/>
              </w:rPr>
              <w:t>, aktualizácia opatrenia </w:t>
            </w:r>
            <w:hyperlink r:id="rId32" w:history="1">
              <w:r w:rsidRPr="00875617">
                <w:rPr>
                  <w:rFonts w:ascii="Arial" w:eastAsia="Times New Roman" w:hAnsi="Arial" w:cs="Arial"/>
                  <w:b/>
                  <w:bCs/>
                  <w:color w:val="135CAE"/>
                  <w:sz w:val="20"/>
                  <w:szCs w:val="20"/>
                  <w:lang w:eastAsia="sk-SK"/>
                </w:rPr>
                <w:t>o výnimku pre umelcov tu</w:t>
              </w:r>
            </w:hyperlink>
            <w:r w:rsidRPr="00875617">
              <w:rPr>
                <w:rFonts w:ascii="Arial" w:eastAsia="Times New Roman" w:hAnsi="Arial" w:cs="Arial"/>
                <w:color w:val="000000"/>
                <w:sz w:val="20"/>
                <w:szCs w:val="20"/>
                <w:lang w:eastAsia="sk-SK"/>
              </w:rPr>
              <w:t> a ďalšiu aktualizáciu, ktorá opatrenia zmierňuje (v exteriéri nemusia nosiť rúško osoby nežijúce v jednej domácnosti, ktoré sa od seba nachádzajú 5 metrov a viac a osoby žijúce v jednej domácnosti, ak ich vzdialenosť od iných osôb je 5 metrov a viac), </w:t>
            </w:r>
            <w:hyperlink r:id="rId33"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000000"/>
                <w:sz w:val="20"/>
                <w:szCs w:val="20"/>
                <w:lang w:eastAsia="sk-SK"/>
              </w:rPr>
              <w:t>. Rúška nemusia nosiť ani nevesta a ženích na svadbe. Podrobnosti a ďalšie výnimky </w:t>
            </w:r>
            <w:hyperlink r:id="rId34" w:history="1">
              <w:r w:rsidRPr="00875617">
                <w:rPr>
                  <w:rFonts w:ascii="Arial" w:eastAsia="Times New Roman" w:hAnsi="Arial" w:cs="Arial"/>
                  <w:color w:val="135CAE"/>
                  <w:sz w:val="20"/>
                  <w:szCs w:val="20"/>
                  <w:lang w:eastAsia="sk-SK"/>
                </w:rPr>
                <w:t>nájdete tu</w:t>
              </w:r>
            </w:hyperlink>
            <w:r w:rsidRPr="00875617">
              <w:rPr>
                <w:rFonts w:ascii="Arial" w:eastAsia="Times New Roman" w:hAnsi="Arial" w:cs="Arial"/>
                <w:color w:val="000000"/>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Školy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Od 1. júna sa umožňuje prevádzka jasieľ, škôlok a základných škôl od 1. do 5. stupňa. </w:t>
            </w:r>
            <w:hyperlink r:id="rId35"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36"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Podrobnosti o podmienkach prevádzky detských jasieľ </w:t>
            </w:r>
            <w:hyperlink r:id="rId37" w:tgtFrame="_blank"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hlavného hygienika k prevádzke školských stravovacích zariadení </w:t>
            </w:r>
            <w:hyperlink r:id="rId38" w:tgtFrame="_blank" w:history="1">
              <w:r w:rsidRPr="00875617">
                <w:rPr>
                  <w:rFonts w:ascii="Helvetica" w:eastAsia="Times New Roman" w:hAnsi="Helvetica" w:cs="Helvetica"/>
                  <w:b/>
                  <w:bCs/>
                  <w:color w:val="135CAE"/>
                  <w:sz w:val="18"/>
                  <w:szCs w:val="18"/>
                  <w:lang w:eastAsia="sk-SK"/>
                </w:rPr>
                <w:t>nájdete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Činnosť obchodov a prevádzok: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Činnosťou obchodov a prevádzok sa zaoberá </w:t>
            </w:r>
            <w:hyperlink r:id="rId39" w:tgtFrame="_blank" w:history="1">
              <w:r w:rsidRPr="00875617">
                <w:rPr>
                  <w:rFonts w:ascii="Arial" w:eastAsia="Times New Roman" w:hAnsi="Arial" w:cs="Arial"/>
                  <w:b/>
                  <w:bCs/>
                  <w:color w:val="135CAE"/>
                  <w:sz w:val="20"/>
                  <w:szCs w:val="20"/>
                  <w:u w:val="single"/>
                  <w:lang w:eastAsia="sk-SK"/>
                </w:rPr>
                <w:t>nasledovné opatrenie</w:t>
              </w:r>
            </w:hyperlink>
            <w:r w:rsidRPr="00875617">
              <w:rPr>
                <w:rFonts w:ascii="Arial" w:eastAsia="Times New Roman" w:hAnsi="Arial" w:cs="Arial"/>
                <w:color w:val="333333"/>
                <w:sz w:val="20"/>
                <w:szCs w:val="20"/>
                <w:lang w:eastAsia="sk-SK"/>
              </w:rPr>
              <w:t xml:space="preserve"> a </w:t>
            </w:r>
            <w:hyperlink r:id="rId40" w:history="1">
              <w:r w:rsidRPr="00875617">
                <w:rPr>
                  <w:rFonts w:ascii="Arial" w:eastAsia="Times New Roman" w:hAnsi="Arial" w:cs="Arial"/>
                  <w:b/>
                  <w:bCs/>
                  <w:color w:val="135CAE"/>
                  <w:sz w:val="20"/>
                  <w:szCs w:val="20"/>
                  <w:u w:val="single"/>
                  <w:lang w:eastAsia="sk-SK"/>
                </w:rPr>
                <w:t>jeho aktualizácia</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 opatrenia možno v skratke konštatovať nasledovné: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Predajne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Opatrenia v otvorených obchodoch:</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vchode do prevádzky aplikovať dezinfekciu na ruky alebo poskytnúť jednorazové rukavice.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osôb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si od 27. mája 2020 môžu vybrať: počet nakupujúcich v prevádzke v jednom okamihu nesmie prekročiť koncentráciu jeden nakupujúci na 15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Od pondelka do piatka je v predajniach potravín a drogérie od 9:00 do 11:00 vyhradený </w:t>
            </w:r>
            <w:r w:rsidRPr="00875617">
              <w:rPr>
                <w:rFonts w:ascii="Arial" w:eastAsia="Times New Roman" w:hAnsi="Arial" w:cs="Arial"/>
                <w:color w:val="333333"/>
                <w:sz w:val="20"/>
                <w:szCs w:val="20"/>
                <w:lang w:eastAsia="sk-SK"/>
              </w:rPr>
              <w:lastRenderedPageBreak/>
              <w:t>nákupný čas pre seniorov nad 65 rokov, ktorí sú najviac ohrozenou skupinou ochorením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v reštauráciách: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Sú obdobné ako opatrenia v obchodoch, navyše: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zákazníci musia nosiť rúška, ktoré si však môžu zložiť na čas potrebný na konzumáciu nápojov a jedál</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verejného stravovania si od 27. mája 2020 môžu vybrať: odstup stolov od seba minimálne 2 metre, alebo počet zákazníkov v prevádzke v jednom okamihu nesmie prekročiť koncentráciu jeden nakupujúci na 15 m2 z plochy prevádzky určenej pre zákazníkov (táto podmienka sa nevzťahuje na deti); alebo sa medzi zákazníkmi bude dodržiavať odstup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minimálne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sa musia dezinfikovať stoly a stoličky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otvorené môžu mať od 6:00 do 22:00; to sa netýka prevádzok verejného stravovania, ak je v nej uzavretá spoločnosť (oslavy, svadby); prevádzkovateľ bude musieť uchovávať zoznam všetkých účastníkov takejto akcie pre rýchle dohľadanie kontaktov, ak by sa neskôr u niektorého z účastníkov potvrdilo ochorenie COVID-19</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1"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Obchodné centrá</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obchodných centrách môžu byť otvorené všetky prevádzky s výnimkou vnútorných detských kútikov.</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Musia zabezpečiť nefunkčnosť prístrojov, ktoré vytvárajú aerosól (napr. sušiče rúk),</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určených na konzumáciu pokrmov alebo nápojov platia podmienky pre prevádzky verejného stravovania.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na základe návrhu lekára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 bez otvorených šatní, bez prítomnosti obecenstva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vnútorné športoviská, umelé kúpaliská (plavárne) len pre športové kluby</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prevádzky kaderníctiev, holičstiev, kozmetiky, tetovacie salóny, služby nastreľovania náušníc, piercing, manikúry, pedikúry, soláriá, masáže (okrem mokrých procedúr – napr. hydromasáže). Pri masážach je povolené používanie olejov, krémov a gélov.</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 a prevádzky v ich priestoroch (napr. stánky so suvenírmi alebo občerstvením)</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a vnútorné turistické atrakcie (nie vnútorné priestory ZOO a botanických záhrad)</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v ktorých sa prevádzkuje individuálne vyučovanie s jedným žiakom.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Zabezpečenie kvality ovzdušia v budovách</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pri zabezpečovaní vetrania vzduchotechnickým zariadením sa odporúča zvýšiť výmenu vzduchu vo všetkých priestoroch a zabezpečiť jeho trvalý chod,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bola vzduchotechnika počas posledných dvoch mesiacov mimo prevádzky, odporúča sa zabezpečiť vetranie priestorov vzduchotechnickým zariadením minimálne 24 hod. pred otvorením prevádzky,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vyhnúť sa otváraniu okien na toaletách, ak sú odvetrávané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nepoužívať rotačné výmenníky tepla alebo sa uistiť, že nevykazujú netesnosti, ktoré by umožňovali prienik odpadového vzduchu do privádzaného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prepnúť recirkulačné jednotky na 100 % prívod vonkajšieho vzduchu, ak je to technicky možné,</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nepoužívať čističky vzduchu, ktoré nemajú HEPA filter,</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využívať všetky možnosti podtlakového odvetrávania (ventilátory) v sále, na toaletách aj v kuchynských priestoroch,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hotely a ubytovne:</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môžu ubytovávať aj krátkodobo, avšak len v izbách s vlastnou kúpeľňou a WC</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ubytovanom hosťovi musí byť izba voľná minimálne 24 hodín</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zatvorené musia byť wellness a fitness centrá, bazény a iné vnútorné priestory voľnočasových aktivít v priestoroch ubytovacích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taxislužby: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vodiči aj cestujúci musia mať na tvári rúško alebo iným spôsobom prekryté horné dýchacie cesty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cestujúci musia sedieť na zadných sedadlách, maximálne dvaja</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absolvovať prestávku minimálne 15 minút</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klimatizácia v priestore pre zákazníka musí byť vypnutá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 starostlivosti o ľudské telo:</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zamestnanci týchto prevádzok musia mať tvárový štít alebo ochranné okuliare, to sa netýka zamestnancov solárií</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zákazník pri ošetrovaní tváre, strihaní, umývaní vlasov nemusí nosiť rúško</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Autoškoly:</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pri praktickej výučbe môže byť v aute vždy len inštruktor a jeden účastník kurzu, obaja musia mať rúška; pri skúškach sa povoľuje aj prítomnosť ďalšieho skúšobného </w:t>
            </w:r>
            <w:r w:rsidRPr="00875617">
              <w:rPr>
                <w:rFonts w:ascii="Arial" w:eastAsia="Times New Roman" w:hAnsi="Arial" w:cs="Arial"/>
                <w:b/>
                <w:bCs/>
                <w:color w:val="333333"/>
                <w:sz w:val="20"/>
                <w:szCs w:val="20"/>
                <w:lang w:eastAsia="sk-SK"/>
              </w:rPr>
              <w:lastRenderedPageBreak/>
              <w:t>komisára</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výcviku treba vozidlo, resp. trenažér vydezinfikovať</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jazdami vozidlom pri zmene účastníka kurzu musí byť prestávka najmenej 15 minút</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predaj vstupeniek (miesteniek) tak, aby boli dodržané dvojmetrové odstupy sediacich divákov. Dvojsedačka alebo dve sedadlá vedľa seba môžu byť predané iba na požiadanie a to pre rodinných príslušníkov alebo pre partnerov,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nefunkčnosť prístrojov, ktoré vytvárajú aerosól (napr. sušiče rúk),</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dezinfekciu hygienických zariadení každú hodinu,</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každým predstavením vykonávať dezinfekciu dotykových plôch (kľučiek, držadiel, pultov),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zakazuje sa predaj a konzumácia pokrmov alebo nápojov,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 Návštevníci po zakúpení vstupeniek musia zaujať svoje miesto v sále,</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prevádzkovateľ zabezpečí aspoň jednu osobu, ktorá dohliada na dodržiavanie uvedených pravidiel</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návštevníci sú povinní nosiť rúška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umelých kúpalísk (plavární) sú súčasné povinné dodržiavať nasledovné:</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vstup majú umožnený len členovia športových klubov,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meranie teploty a osobám s teplotou vyššou ako 37,0 °C sa nepovolí vstup na kúpalisko,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vedie sa evidencia osôb s pobytom v bazéne,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časový interval medzi striedaním športových klubov pre dezinfekciu používaných priestorov (šatne, WC a sprchy), ktorá sa vykoná prípravkami s virucídnymi účinkami po každej skupine,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športového klubu s výnimkou pobytu vo vode a sprchovania používali rúško,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športových klubov po pobyte v bazéne v čo najkratšom čase opustili priestory kúpaliska,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na kúpalisko sa aplikuje zákazníkom dezinfekcia na ruky,</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umelých kúpaliskách sa zabezpečuje dostatočné vetranie; prednostne sa využíva prirodzené vetranie,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zabezpečiť nefunkčnosť prístrojov, ktoré vytvárajú aerosól (napr. sušiče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lastRenderedPageBreak/>
              <w:t>Obchody zatvorené v nedeľu: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Všetky obchody a prevádzky služieb, ktoré môžu fungovať, musia mať zatvorené v nedeľu, ktorá je určená ako sanitárny deň.</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Zatvorenie v nedeľu neplatí pre: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veterinárne ambulancie a „pohotovostné lekárne“,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Čerpacie stanice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telekomunikačných operátorov</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verejného stravovania a stánky s rýchlym občerstvením</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poštových, bankových a poisťovacích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donáškových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ubytovacích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poskytujúce starostlivosť na základe návrhu lekára</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turistické atrakcie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Turistické informačné kancelárie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divadelných, filmových a iných kultúrnych predstavení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Ambulantný predaj</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taxislužieb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autoškôl</w:t>
            </w:r>
          </w:p>
          <w:p w:rsidR="00875617" w:rsidRPr="00875617" w:rsidRDefault="00531346" w:rsidP="00875617">
            <w:pPr>
              <w:spacing w:after="0" w:line="240" w:lineRule="auto"/>
              <w:jc w:val="both"/>
              <w:rPr>
                <w:rFonts w:ascii="Helvetica" w:eastAsia="Times New Roman" w:hAnsi="Helvetica" w:cs="Helvetica"/>
                <w:color w:val="333333"/>
                <w:sz w:val="18"/>
                <w:szCs w:val="18"/>
                <w:lang w:eastAsia="sk-SK"/>
              </w:rPr>
            </w:pPr>
            <w:hyperlink r:id="rId42" w:tgtFrame="_blank" w:history="1">
              <w:r w:rsidR="00875617" w:rsidRPr="00875617">
                <w:rPr>
                  <w:rFonts w:ascii="Arial" w:eastAsia="Times New Roman" w:hAnsi="Arial" w:cs="Arial"/>
                  <w:b/>
                  <w:bCs/>
                  <w:color w:val="135CAE"/>
                  <w:sz w:val="20"/>
                  <w:szCs w:val="20"/>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Hromadné podujatia: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Zakazuje sa usporadúvať akékoľvek hromadné podujatia </w:t>
            </w:r>
            <w:r w:rsidRPr="00875617">
              <w:rPr>
                <w:rFonts w:ascii="Arial" w:eastAsia="Times New Roman" w:hAnsi="Arial" w:cs="Arial"/>
                <w:b/>
                <w:bCs/>
                <w:color w:val="333333"/>
                <w:sz w:val="20"/>
                <w:szCs w:val="20"/>
                <w:lang w:eastAsia="sk-SK"/>
              </w:rPr>
              <w:t>súťažnej športovej povahy.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usporadúvaní hromadných podujatí je potrebné dodržiavať nasledovné povinnosti:</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vstup a pobyt v mieste hromadného podujatia umožniť len s prekrytými hornými dýchacími cestami (napríklad rúško, šál, šatka),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častú dezinfekciu priestorov, hlavne dotykových plôch, kľučiek, podláh a  predmetov,</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zabezpečiť pri vstupe do budovy oznam o povinnosti, že v prípade vzniku akútneho respiračného ochorenia (napr. horúčka, kašeľ, nádcha, sťažené dýchanie) je osoba povinná zostať v domácej izolácii,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zverejniť na viditeľnom mieste oznam s informáciou:</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sa u osoby prejavia príznaky akútneho respiračného ochorenia, je potrebné telefonicky kontaktovať svojho ošetrujúceho lekára a opustiť miesto hromadného podujatia, </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si umývať ruky mydlom a teplou vodou, následne ruky utierať do jednorazových papierových obrúskov,</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 podávania rúk,</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účasti na hromadnom podujatí a pri príchode a odchode z priestorov hromadného podujatia zabezpečiť dodržiavanie rozostupov 2 m medzi osobami, to neplatí pre osoby žijúce v spoločnej domácnosti alebo pre partnerov,</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dostatočné vetranie priestorov.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Pod zákaz organizovania hromadných podujatí nespadajú zasadnutia štátnych orgánov a orgánov územnej samosprávy za jasne stanovených hygienických pravidiel a protiepidemických opatrení. </w:t>
            </w:r>
          </w:p>
          <w:p w:rsidR="00875617" w:rsidRPr="00875617" w:rsidRDefault="00531346" w:rsidP="00875617">
            <w:pPr>
              <w:spacing w:after="0" w:line="240" w:lineRule="auto"/>
              <w:jc w:val="both"/>
              <w:rPr>
                <w:rFonts w:ascii="Helvetica" w:eastAsia="Times New Roman" w:hAnsi="Helvetica" w:cs="Helvetica"/>
                <w:color w:val="333333"/>
                <w:sz w:val="18"/>
                <w:szCs w:val="18"/>
                <w:lang w:eastAsia="sk-SK"/>
              </w:rPr>
            </w:pPr>
            <w:hyperlink r:id="rId43" w:history="1">
              <w:r w:rsidR="00875617"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lastRenderedPageBreak/>
              <w:br/>
              <w:t xml:space="preserve">Svadobné obrady, bohoslužby a ďalšie náboženské obrady </w:t>
            </w:r>
            <w:r w:rsidRPr="00875617">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44"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5"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Pohrebné obrady</w:t>
            </w:r>
            <w:r w:rsidRPr="00875617">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46"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o podmienkach pri sobášnych obradoch </w:t>
            </w:r>
            <w:hyperlink r:id="rId47"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 konané v reštauračných zariadeniach</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to možné, odporúčame organizovať svadobné hostiny v prevádzkach v exteriéri</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v reštaurácii uzavretá spoločnosť, nemusí skončiť prevádzku o 22:00</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875617">
              <w:rPr>
                <w:rFonts w:ascii="Arial" w:eastAsia="Times New Roman" w:hAnsi="Arial" w:cs="Arial"/>
                <w:b/>
                <w:bCs/>
                <w:color w:val="333333"/>
                <w:sz w:val="20"/>
                <w:szCs w:val="20"/>
                <w:lang w:eastAsia="sk-SK"/>
              </w:rPr>
              <w:t>Nevesta a ženích nemusia mať rúška počas sobášneho obradu, ani počas svadobnej hostiny.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48"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stolov od seba má byť minimálne 2 metre, </w:t>
            </w: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od iných ľudí za tým istým stolom minimálne 2 metre</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prevádzkovateľ bude musieť 30 dní po skončení akcie uchovávať zoznam všetkých účastníkov svadby pre rýchle dohľadanie kontaktov, ak by sa neskôr u niektorého z účastníkov potvrdilo ochorenie COVID-19</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Reštaurácie môžu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Podrobnosti </w:t>
            </w:r>
            <w:hyperlink r:id="rId49"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a </w:t>
            </w:r>
            <w:hyperlink r:id="rId50" w:history="1">
              <w:r w:rsidRPr="00875617">
                <w:rPr>
                  <w:rFonts w:ascii="Arial" w:eastAsia="Times New Roman" w:hAnsi="Arial" w:cs="Arial"/>
                  <w:b/>
                  <w:bCs/>
                  <w:color w:val="135CAE"/>
                  <w:sz w:val="20"/>
                  <w:szCs w:val="20"/>
                  <w:u w:val="single"/>
                  <w:lang w:eastAsia="sk-SK"/>
                </w:rPr>
                <w:t>aktualizované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Svadby konané mimo reštaurácií</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Ak je to možné, odporúčame svadobné hostiny organizovať v exteriéri.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Trvanie akcie nie je časovo obmedzené.</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Aj v tomto prípade musia účastníci nosiť rúška, ktoré si môžu zložiť na čas konzumácie jedla a nápojov.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51"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ľudí od seba má byť minimálne 2 metre, </w:t>
            </w:r>
            <w:r w:rsidRPr="00875617">
              <w:rPr>
                <w:rFonts w:ascii="Arial" w:eastAsia="Times New Roman" w:hAnsi="Arial" w:cs="Arial"/>
                <w:color w:val="333333"/>
                <w:sz w:val="20"/>
                <w:szCs w:val="20"/>
                <w:lang w:eastAsia="sk-SK"/>
              </w:rPr>
              <w:t>to sa netýka členov spoločnej domácnosti alebo partnerov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52"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k hromadným podujatiam </w:t>
            </w:r>
            <w:hyperlink r:id="rId53"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Nemocnice a domovy sociálnych služieb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 nemocniciach platí zákaz návštev na všetkých lôžkových oddeleniach. Zákaz návštev klientov platí aj u verejných a súkromných poskytovateľov sociálnych služieb. </w:t>
            </w:r>
            <w:hyperlink r:id="rId54" w:tgtFrame="_blank"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Nemocnice však môžu povoliť výnimky zo zákazu návštev. Pre lôžkové zariadenia pre dospelých pacientov sú to nasledovné okolnosti: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terminálnom štádiu ochorenia - je povolená návšteva súčasne dvoma blízkymi osobami,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kňaza alebo duchovného u ťažko chorých a zomierajúcich pre vysluhovanie sviatostí,</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jeden sprievod pri pôrode a popôrodnej starostlivosti,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pre sprevádzanie pacienta pri prepustení z nemocnice,</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u pacienta s poruchami duševného zdravia, ako je demencia, porucha učenia alebo autizmus (ak by neprítomnosť spôsobila stavy úzkosti osoby),</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 psychickými ochoreniami podľa indikácie lekára v prípade, ak neprítomnosť osoby môže nepriaznivo vplývať na výsledky liečebného procesu,</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umelom spánku na OAIM v prípade, ak z liečebného hľadiska je táto návšteva, indikovaná napr. stavy po ťažkých traumatických poradeniach, coma vigile a pod.</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 lôžkové zariadenia pre deti sú to nasledovné okolnosti:</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sprievod detského pacienta,</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dieťaťa v paliatívnej starostlivosti príbuznými dieťaťa vrátane iných detí žijúcich s rodičmi v spoločnej domácnosti (bez príznakov respiračnej a/alebo gastrointestinálnej infekcie).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pri návšteve novorodeneckých oddelení:</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minimalizovať návštevy na jednu až dve osoby, rodičov (osoby by nemali rotovať, opakovane by mala navštevovať novorodenca tá istá osoba),</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 povolená jedna sprevádzajúca osoba pri pôrode a počas pobytu matky v nemocnici, za splnenia podmienok bližšie definovaných odporúčaných postupoch HH SR</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dodržiavať všeobecné opatrenia pre návštevy a sprievody (triedenie, hygiena rúk a použitie OOP) počas pandémie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Rodičia by mali mať aj počas pandémie COVID-19 možnosť podieľať sa na starostlivosti o svoje dieťa</w:t>
            </w:r>
            <w:r w:rsidRPr="00875617">
              <w:rPr>
                <w:rFonts w:ascii="Arial" w:eastAsia="Times New Roman" w:hAnsi="Arial" w:cs="Arial"/>
                <w:color w:val="333333"/>
                <w:sz w:val="20"/>
                <w:szCs w:val="20"/>
                <w:lang w:eastAsia="sk-SK"/>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Na rodičov by sa nemalo pozerať ako na návštevy, akékoľvek rodičovské obmedzenia by mali byť prijímané len v čase významného rizika šírenia vírusu SARS-CoV-2.</w:t>
            </w:r>
            <w:r w:rsidRPr="00875617">
              <w:rPr>
                <w:rFonts w:ascii="Arial" w:eastAsia="Times New Roman" w:hAnsi="Arial" w:cs="Arial"/>
                <w:color w:val="333333"/>
                <w:sz w:val="20"/>
                <w:szCs w:val="20"/>
                <w:lang w:eastAsia="sk-SK"/>
              </w:rPr>
              <w:t xml:space="preserve"> Od rodičov sa vyžaduje prísne dodržiavanie stanovených podmienok.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ktoré sú návštevy alebo sprevádzajúce osoby povinné dodržiavať:</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ústavného zdravotníckeho zariadenia vstupujú cez označený vstup a sú triedení vo filtri,</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podmienkou realizácie návštevy, sprievodu je vopred dohodnuté povolenie na návštevu od zodpovednej osoby oddelenia s dohodnutím stanoveného času a protiepidemických opatrení,</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v prípade zistenia telesnej teploty nad 37,0 °C alebo iných príznakov akútneho  respiračného ochorenia (napr. kašeľ alebo dýchavičnosť) bezodkladne opustiť zariadenie a ak je to potrebné vyhľadať zdravotnú starostlivosť.</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Podrobnosti k návštevám v nemocniciach </w:t>
            </w:r>
            <w:hyperlink r:id="rId55"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Nemocniciam a priemyselným podnikom sa odporúča pri vstupe merať telesnú teplotu. </w:t>
            </w:r>
            <w:hyperlink r:id="rId56"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57" w:tgtFrame="_blank"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Detské ihriská: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58" w:history="1">
              <w:r w:rsidRPr="00875617">
                <w:rPr>
                  <w:rFonts w:ascii="Arial" w:eastAsia="Times New Roman" w:hAnsi="Arial" w:cs="Arial"/>
                  <w:b/>
                  <w:bCs/>
                  <w:color w:val="135CAE"/>
                  <w:sz w:val="20"/>
                  <w:szCs w:val="20"/>
                  <w:u w:val="single"/>
                  <w:lang w:eastAsia="sk-SK"/>
                </w:rPr>
                <w:t>aktuálne platného opatrenia</w:t>
              </w:r>
            </w:hyperlink>
            <w:r w:rsidRPr="00875617">
              <w:rPr>
                <w:rFonts w:ascii="Arial" w:eastAsia="Times New Roman" w:hAnsi="Arial" w:cs="Arial"/>
                <w:color w:val="333333"/>
                <w:sz w:val="20"/>
                <w:szCs w:val="20"/>
                <w:lang w:eastAsia="sk-SK"/>
              </w:rPr>
              <w:t xml:space="preserve"> Úradu verejného zdravotníctva SR.</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Celé usmernenie </w:t>
            </w:r>
            <w:hyperlink r:id="rId59"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Knižnice: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pracovníci knižníc musia pri kontakte s knihami a obdobnými predmetmi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Povinnosť pre zamestnancov aj čitateľov a používateľov knižnice mať prekryté horné dýchacie cesty rúškom, šálom, šatkou a podobne.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do knižnice aplikovať dezinfekciu na ruky alebo poskytnúť jednorazové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v radoch osôb minimálne 2 metre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Počet čitateľov a používateľov v priestore nesmie presiahnuť koncentráciu jeden na 15 metrov štvorcových; táto podmienka sa nevzťahuje na deti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knižnice viditeľne umiestniť oznam o povinnosti dodržiavať vyššie uvedené hygienické opatrenia a oznam o maximálnom počte zákazníkov v jednom okamihu</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vrátení knihy sa odporúča ju odložiť a ďalšia manipulácia s ňou bude možná až po uplynutí 24 hodín.</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študovní a čitární pri prezenčnej výpožičke môžu vstupovať čitatelia a používatelia. Musia však mať prekryté horné dýchacie cesty a udržiavať odstup 2 metre od iného používateľa.</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Študenti si môžu brať knihy z políc vlastnými rukami.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Ak knižnica poskytuje toalety pre verejnosť, je potrebné ich dezinfikovať rovnako ako v prípade toaliet v iných prevádzkach.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Knihobúdky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Sociálne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Pozastavené sú ambulantné služby zariadení sociálnej starostlivosti. Sú to:</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denné stacionáre,</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pre seniorov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opatrovateľskej služby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špecializované zariadenia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domovy sociálnych služieb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denné centrá (bývalé "kluby dôchodcov")</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starostlivosti o deti do troch rokov veku dieťaťa (bývalé "detské jasle").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naďalej môžu poskytovať zariadenia sociálnych služieb, zariadenia sociálnoprávnej ochrany detí a sociálnej kurately podľa zákona č. 305/2005 Z. z. a špeciálnych výchovných zariadení podľa zákona č. 245/2008 Z. z.</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môžu poskytovať:</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pedagogicko-psychologického poradenstva a prevencie</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špeciálno-pedagogického poradenstva</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Rehabilitačné strediská s ambulantnou formou sociálnej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týchto zariadeniach platia všeobecné protiepidemické opatrenia platné pre otvorené prevádzky, samozrejme, pri zohľadnení špecifických podmienok týchto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Školské zariadenia výchovného poradenstva a prevencie súčasne musia: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sledovať zdravotný stav osôb zdržujúcich sa v zariadení so zameraním na príznaky respiračného ochorenia (zvýšená teplota, kašeľ, sekrécia z nosa),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odbornú činnosť s klientmi na urgentné prípady za dodržania všeobecných epidemiologických preventívnych opatrení,</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starostlivosť o klientov zariadenia alebo o klientov v krízovej situácii online a telefonicky,</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uzatvoriť zariadenia pre verejnosť, zakázať návštevy a pohyb cudzích osôb v priestoroch.</w:t>
            </w:r>
          </w:p>
          <w:p w:rsidR="00875617" w:rsidRPr="00875617" w:rsidRDefault="00531346" w:rsidP="00875617">
            <w:pPr>
              <w:spacing w:after="0" w:line="240" w:lineRule="auto"/>
              <w:jc w:val="both"/>
              <w:rPr>
                <w:rFonts w:ascii="Helvetica" w:eastAsia="Times New Roman" w:hAnsi="Helvetica" w:cs="Helvetica"/>
                <w:color w:val="333333"/>
                <w:sz w:val="18"/>
                <w:szCs w:val="18"/>
                <w:lang w:eastAsia="sk-SK"/>
              </w:rPr>
            </w:pPr>
            <w:hyperlink r:id="rId60" w:history="1">
              <w:r w:rsidR="00875617" w:rsidRPr="00875617">
                <w:rPr>
                  <w:rFonts w:ascii="Arial" w:eastAsia="Times New Roman" w:hAnsi="Arial" w:cs="Arial"/>
                  <w:b/>
                  <w:bCs/>
                  <w:color w:val="135CAE"/>
                  <w:sz w:val="20"/>
                  <w:szCs w:val="20"/>
                  <w:u w:val="single"/>
                  <w:lang w:eastAsia="sk-SK"/>
                </w:rPr>
                <w:t>Podrobnosti 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Prikazuje sa verejným a neverejným poskytovateľom sociálnych služieb dôsledne dodržiavať hygienicko-epidemiologický režim. </w:t>
            </w:r>
            <w:hyperlink r:id="rId61" w:tgtFrame="_blank"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Rómske komunity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Plán riešenia COVID-19 v marginalizovaných rómskych komunitách </w:t>
            </w:r>
            <w:hyperlink r:id="rId62"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Potravinové prevádzky, podniky a pracoviská</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Všeobecné zásady krízového plánu pre potravinárske prevádzky </w:t>
            </w:r>
            <w:hyperlink r:id="rId63"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Návrh usmernenia pre priemyselné podniky v súvislosti s pandémiou COVID-19 </w:t>
            </w:r>
            <w:hyperlink r:id="rId64"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k ochranným a bezpečnostným opatreniam na pracovisku </w:t>
            </w:r>
            <w:hyperlink r:id="rId65"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Seniori</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 pondelka do piatka je v predajniach potravín a drogérií od 9:00 do 11:00 vyhradený nákupný čas pre seniorov nad 65 rokov, ktorí sú najviac ohrozenou skupinou ochorením COVID-19. </w:t>
            </w:r>
            <w:r w:rsidRPr="00875617">
              <w:rPr>
                <w:rFonts w:ascii="Arial" w:eastAsia="Times New Roman" w:hAnsi="Arial" w:cs="Arial"/>
                <w:color w:val="333333"/>
                <w:sz w:val="20"/>
                <w:szCs w:val="20"/>
                <w:lang w:eastAsia="sk-SK"/>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Žiadame seniorov, aby obmedzili dopravu vo vlakoch a obmedzili pohyb po vonku len na nevyhnutné prípady (nákup, venčenie spoločenských zvierat, návšteva zdravotníckeho zariadenia).</w:t>
            </w:r>
            <w:r w:rsidRPr="00875617">
              <w:rPr>
                <w:rFonts w:ascii="Arial" w:eastAsia="Times New Roman" w:hAnsi="Arial" w:cs="Arial"/>
                <w:b/>
                <w:bCs/>
                <w:color w:val="333333"/>
                <w:sz w:val="20"/>
                <w:szCs w:val="20"/>
                <w:lang w:eastAsia="sk-SK"/>
              </w:rPr>
              <w:t>Seniori patria z pohľadu šírenia ochorenia a možného vzniku vážnych zdravotných komplikácií medzi rizikovú skupinu obyvateľstva.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Informácie o ochorení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66" w:tgtFrame="_blank"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875617">
              <w:rPr>
                <w:rFonts w:ascii="Arial" w:eastAsia="Times New Roman" w:hAnsi="Arial" w:cs="Arial"/>
                <w:b/>
                <w:bCs/>
                <w:color w:val="333333"/>
                <w:sz w:val="20"/>
                <w:szCs w:val="20"/>
                <w:lang w:eastAsia="sk-SK"/>
              </w:rPr>
              <w:t xml:space="preserve"> </w:t>
            </w:r>
            <w:hyperlink r:id="rId67"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u w:val="single"/>
                <w:lang w:eastAsia="sk-SK"/>
              </w:rPr>
              <w:br/>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 xml:space="preserve">Usmernenie hlavného hygienika SR k operačným a intervenčným výkonom v súvislosti s ochorením COVID-19 počas priaznivej epidemiologickej situácie v SR nájdete tu:  </w:t>
            </w:r>
            <w:hyperlink r:id="rId68" w:tgtFrame="_blank" w:history="1">
              <w:r w:rsidRPr="00875617">
                <w:rPr>
                  <w:rFonts w:ascii="Arial" w:eastAsia="Times New Roman" w:hAnsi="Arial" w:cs="Arial"/>
                  <w:b/>
                  <w:bCs/>
                  <w:color w:val="135CAE"/>
                  <w:sz w:val="20"/>
                  <w:szCs w:val="20"/>
                  <w:u w:val="single"/>
                  <w:lang w:eastAsia="sk-SK"/>
                </w:rPr>
                <w:t>nájdete tu.</w:t>
              </w:r>
            </w:hyperlink>
          </w:p>
        </w:tc>
      </w:tr>
    </w:tbl>
    <w:p w:rsidR="00875617" w:rsidRDefault="00875617"/>
    <w:sectPr w:rsidR="0087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137C"/>
    <w:multiLevelType w:val="multilevel"/>
    <w:tmpl w:val="543E5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EF202B"/>
    <w:multiLevelType w:val="multilevel"/>
    <w:tmpl w:val="9EC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84D84"/>
    <w:multiLevelType w:val="multilevel"/>
    <w:tmpl w:val="FD8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D1D67"/>
    <w:multiLevelType w:val="multilevel"/>
    <w:tmpl w:val="5BD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1159F"/>
    <w:multiLevelType w:val="multilevel"/>
    <w:tmpl w:val="36D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B3F27"/>
    <w:multiLevelType w:val="multilevel"/>
    <w:tmpl w:val="FC1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71006"/>
    <w:multiLevelType w:val="multilevel"/>
    <w:tmpl w:val="BD3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66051"/>
    <w:multiLevelType w:val="multilevel"/>
    <w:tmpl w:val="8C8E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65B0261"/>
    <w:multiLevelType w:val="multilevel"/>
    <w:tmpl w:val="D13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53858"/>
    <w:multiLevelType w:val="multilevel"/>
    <w:tmpl w:val="768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A66A5"/>
    <w:multiLevelType w:val="multilevel"/>
    <w:tmpl w:val="45C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621AD"/>
    <w:multiLevelType w:val="multilevel"/>
    <w:tmpl w:val="2CD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0068E"/>
    <w:multiLevelType w:val="multilevel"/>
    <w:tmpl w:val="3E0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14674"/>
    <w:multiLevelType w:val="multilevel"/>
    <w:tmpl w:val="2F6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C4F7B"/>
    <w:multiLevelType w:val="multilevel"/>
    <w:tmpl w:val="CCA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A665E"/>
    <w:multiLevelType w:val="multilevel"/>
    <w:tmpl w:val="029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F076A"/>
    <w:multiLevelType w:val="multilevel"/>
    <w:tmpl w:val="618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221E1"/>
    <w:multiLevelType w:val="multilevel"/>
    <w:tmpl w:val="EA4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A4F2F"/>
    <w:multiLevelType w:val="multilevel"/>
    <w:tmpl w:val="195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76586"/>
    <w:multiLevelType w:val="multilevel"/>
    <w:tmpl w:val="052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86CFD"/>
    <w:multiLevelType w:val="multilevel"/>
    <w:tmpl w:val="CE8E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2662F"/>
    <w:multiLevelType w:val="multilevel"/>
    <w:tmpl w:val="AB8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05DD1"/>
    <w:multiLevelType w:val="multilevel"/>
    <w:tmpl w:val="E0D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F76CE"/>
    <w:multiLevelType w:val="multilevel"/>
    <w:tmpl w:val="F80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469AA"/>
    <w:multiLevelType w:val="multilevel"/>
    <w:tmpl w:val="EC2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44434F"/>
    <w:multiLevelType w:val="multilevel"/>
    <w:tmpl w:val="CEE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C05F65"/>
    <w:multiLevelType w:val="multilevel"/>
    <w:tmpl w:val="ED5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5"/>
  </w:num>
  <w:num w:numId="4">
    <w:abstractNumId w:val="13"/>
  </w:num>
  <w:num w:numId="5">
    <w:abstractNumId w:val="5"/>
  </w:num>
  <w:num w:numId="6">
    <w:abstractNumId w:val="20"/>
  </w:num>
  <w:num w:numId="7">
    <w:abstractNumId w:val="6"/>
  </w:num>
  <w:num w:numId="8">
    <w:abstractNumId w:val="25"/>
  </w:num>
  <w:num w:numId="9">
    <w:abstractNumId w:val="8"/>
  </w:num>
  <w:num w:numId="10">
    <w:abstractNumId w:val="23"/>
  </w:num>
  <w:num w:numId="11">
    <w:abstractNumId w:val="2"/>
  </w:num>
  <w:num w:numId="12">
    <w:abstractNumId w:val="1"/>
  </w:num>
  <w:num w:numId="13">
    <w:abstractNumId w:val="21"/>
  </w:num>
  <w:num w:numId="14">
    <w:abstractNumId w:val="7"/>
  </w:num>
  <w:num w:numId="15">
    <w:abstractNumId w:val="26"/>
  </w:num>
  <w:num w:numId="16">
    <w:abstractNumId w:val="24"/>
  </w:num>
  <w:num w:numId="17">
    <w:abstractNumId w:val="10"/>
  </w:num>
  <w:num w:numId="18">
    <w:abstractNumId w:val="3"/>
  </w:num>
  <w:num w:numId="19">
    <w:abstractNumId w:val="18"/>
  </w:num>
  <w:num w:numId="20">
    <w:abstractNumId w:val="17"/>
  </w:num>
  <w:num w:numId="21">
    <w:abstractNumId w:val="9"/>
  </w:num>
  <w:num w:numId="22">
    <w:abstractNumId w:val="16"/>
  </w:num>
  <w:num w:numId="23">
    <w:abstractNumId w:val="14"/>
  </w:num>
  <w:num w:numId="24">
    <w:abstractNumId w:val="19"/>
  </w:num>
  <w:num w:numId="25">
    <w:abstractNumId w:val="1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17"/>
    <w:rsid w:val="001978F0"/>
    <w:rsid w:val="00293B00"/>
    <w:rsid w:val="002A24ED"/>
    <w:rsid w:val="0036799F"/>
    <w:rsid w:val="003D62F0"/>
    <w:rsid w:val="004D3580"/>
    <w:rsid w:val="004E3C04"/>
    <w:rsid w:val="005105CB"/>
    <w:rsid w:val="00531346"/>
    <w:rsid w:val="005501FA"/>
    <w:rsid w:val="00561EE4"/>
    <w:rsid w:val="005B6259"/>
    <w:rsid w:val="005D4304"/>
    <w:rsid w:val="006362B3"/>
    <w:rsid w:val="00637DCC"/>
    <w:rsid w:val="0068198F"/>
    <w:rsid w:val="006A0B7E"/>
    <w:rsid w:val="0077252D"/>
    <w:rsid w:val="00807273"/>
    <w:rsid w:val="00875617"/>
    <w:rsid w:val="0088289C"/>
    <w:rsid w:val="008B3C30"/>
    <w:rsid w:val="008C7893"/>
    <w:rsid w:val="008D5FE5"/>
    <w:rsid w:val="00925880"/>
    <w:rsid w:val="00943202"/>
    <w:rsid w:val="00963E3F"/>
    <w:rsid w:val="009714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875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5617"/>
    <w:rPr>
      <w:rFonts w:ascii="Tahoma" w:hAnsi="Tahoma" w:cs="Tahoma"/>
      <w:sz w:val="16"/>
      <w:szCs w:val="16"/>
    </w:rPr>
  </w:style>
  <w:style w:type="character" w:styleId="Hypertextovprepojenie">
    <w:name w:val="Hyperlink"/>
    <w:basedOn w:val="Predvolenpsmoodseku"/>
    <w:uiPriority w:val="99"/>
    <w:unhideWhenUsed/>
    <w:rsid w:val="00875617"/>
    <w:rPr>
      <w:color w:val="0000FF" w:themeColor="hyperlink"/>
      <w:u w:val="single"/>
    </w:rPr>
  </w:style>
  <w:style w:type="paragraph" w:styleId="Normlnywebov">
    <w:name w:val="Normal (Web)"/>
    <w:basedOn w:val="Normlny"/>
    <w:uiPriority w:val="99"/>
    <w:unhideWhenUsed/>
    <w:rsid w:val="009714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875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5617"/>
    <w:rPr>
      <w:rFonts w:ascii="Tahoma" w:hAnsi="Tahoma" w:cs="Tahoma"/>
      <w:sz w:val="16"/>
      <w:szCs w:val="16"/>
    </w:rPr>
  </w:style>
  <w:style w:type="character" w:styleId="Hypertextovprepojenie">
    <w:name w:val="Hyperlink"/>
    <w:basedOn w:val="Predvolenpsmoodseku"/>
    <w:uiPriority w:val="99"/>
    <w:unhideWhenUsed/>
    <w:rsid w:val="00875617"/>
    <w:rPr>
      <w:color w:val="0000FF" w:themeColor="hyperlink"/>
      <w:u w:val="single"/>
    </w:rPr>
  </w:style>
  <w:style w:type="paragraph" w:styleId="Normlnywebov">
    <w:name w:val="Normal (Web)"/>
    <w:basedOn w:val="Normlny"/>
    <w:uiPriority w:val="99"/>
    <w:unhideWhenUsed/>
    <w:rsid w:val="009714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33905">
      <w:bodyDiv w:val="1"/>
      <w:marLeft w:val="0"/>
      <w:marRight w:val="0"/>
      <w:marTop w:val="0"/>
      <w:marBottom w:val="150"/>
      <w:divBdr>
        <w:top w:val="none" w:sz="0" w:space="0" w:color="auto"/>
        <w:left w:val="none" w:sz="0" w:space="0" w:color="auto"/>
        <w:bottom w:val="none" w:sz="0" w:space="0" w:color="auto"/>
        <w:right w:val="none" w:sz="0" w:space="0" w:color="auto"/>
      </w:divBdr>
      <w:divsChild>
        <w:div w:id="1821845939">
          <w:marLeft w:val="0"/>
          <w:marRight w:val="0"/>
          <w:marTop w:val="0"/>
          <w:marBottom w:val="0"/>
          <w:divBdr>
            <w:top w:val="none" w:sz="0" w:space="0" w:color="auto"/>
            <w:left w:val="none" w:sz="0" w:space="0" w:color="auto"/>
            <w:bottom w:val="none" w:sz="0" w:space="0" w:color="auto"/>
            <w:right w:val="none" w:sz="0" w:space="0" w:color="auto"/>
          </w:divBdr>
          <w:divsChild>
            <w:div w:id="520752472">
              <w:marLeft w:val="0"/>
              <w:marRight w:val="0"/>
              <w:marTop w:val="0"/>
              <w:marBottom w:val="0"/>
              <w:divBdr>
                <w:top w:val="none" w:sz="0" w:space="0" w:color="auto"/>
                <w:left w:val="none" w:sz="0" w:space="0" w:color="auto"/>
                <w:bottom w:val="none" w:sz="0" w:space="0" w:color="auto"/>
                <w:right w:val="none" w:sz="0" w:space="0" w:color="auto"/>
              </w:divBdr>
              <w:divsChild>
                <w:div w:id="1944417235">
                  <w:marLeft w:val="0"/>
                  <w:marRight w:val="0"/>
                  <w:marTop w:val="0"/>
                  <w:marBottom w:val="0"/>
                  <w:divBdr>
                    <w:top w:val="none" w:sz="0" w:space="0" w:color="auto"/>
                    <w:left w:val="none" w:sz="0" w:space="0" w:color="auto"/>
                    <w:bottom w:val="none" w:sz="0" w:space="0" w:color="auto"/>
                    <w:right w:val="none" w:sz="0" w:space="0" w:color="auto"/>
                  </w:divBdr>
                  <w:divsChild>
                    <w:div w:id="194091682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69766">
      <w:bodyDiv w:val="1"/>
      <w:marLeft w:val="0"/>
      <w:marRight w:val="0"/>
      <w:marTop w:val="0"/>
      <w:marBottom w:val="150"/>
      <w:divBdr>
        <w:top w:val="none" w:sz="0" w:space="0" w:color="auto"/>
        <w:left w:val="none" w:sz="0" w:space="0" w:color="auto"/>
        <w:bottom w:val="none" w:sz="0" w:space="0" w:color="auto"/>
        <w:right w:val="none" w:sz="0" w:space="0" w:color="auto"/>
      </w:divBdr>
      <w:divsChild>
        <w:div w:id="1564871256">
          <w:marLeft w:val="0"/>
          <w:marRight w:val="0"/>
          <w:marTop w:val="0"/>
          <w:marBottom w:val="0"/>
          <w:divBdr>
            <w:top w:val="none" w:sz="0" w:space="0" w:color="auto"/>
            <w:left w:val="none" w:sz="0" w:space="0" w:color="auto"/>
            <w:bottom w:val="none" w:sz="0" w:space="0" w:color="auto"/>
            <w:right w:val="none" w:sz="0" w:space="0" w:color="auto"/>
          </w:divBdr>
          <w:divsChild>
            <w:div w:id="808939170">
              <w:marLeft w:val="0"/>
              <w:marRight w:val="0"/>
              <w:marTop w:val="0"/>
              <w:marBottom w:val="0"/>
              <w:divBdr>
                <w:top w:val="none" w:sz="0" w:space="0" w:color="auto"/>
                <w:left w:val="none" w:sz="0" w:space="0" w:color="auto"/>
                <w:bottom w:val="none" w:sz="0" w:space="0" w:color="auto"/>
                <w:right w:val="none" w:sz="0" w:space="0" w:color="auto"/>
              </w:divBdr>
              <w:divsChild>
                <w:div w:id="409931688">
                  <w:marLeft w:val="0"/>
                  <w:marRight w:val="0"/>
                  <w:marTop w:val="0"/>
                  <w:marBottom w:val="0"/>
                  <w:divBdr>
                    <w:top w:val="none" w:sz="0" w:space="0" w:color="auto"/>
                    <w:left w:val="none" w:sz="0" w:space="0" w:color="auto"/>
                    <w:bottom w:val="none" w:sz="0" w:space="0" w:color="auto"/>
                    <w:right w:val="none" w:sz="0" w:space="0" w:color="auto"/>
                  </w:divBdr>
                  <w:divsChild>
                    <w:div w:id="21272343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Opatrenie_UVZ_SR_statna_karantena_20_05_2020.pdf" TargetMode="External"/><Relationship Id="rId39" Type="http://schemas.openxmlformats.org/officeDocument/2006/relationships/hyperlink" Target="http://www.uvzsr.sk/docs/info/covid19/19_05_2020_navrh_opatrenie_UVZ_SR_prevadzky_3_faza_01.pdf" TargetMode="External"/><Relationship Id="rId21" Type="http://schemas.openxmlformats.org/officeDocument/2006/relationships/hyperlink" Target="http://www.uvzsr.sk/docs/info/covid19/opatrenie_chytra_karantena_statne_zariadenia2.pdf" TargetMode="External"/><Relationship Id="rId34" Type="http://schemas.openxmlformats.org/officeDocument/2006/relationships/hyperlink" Target="http://www.uvzsr.sk/docs/info/covid19/Opatrenie_UVZSR_ruska-zmena.pdf" TargetMode="External"/><Relationship Id="rId42" Type="http://schemas.openxmlformats.org/officeDocument/2006/relationships/hyperlink" Target="http://www.uvzsr.sk/docs/info/covid19/19_05_2020_navrh_opatrenie_UVZ_SR_prevadzky_3_faza_01.pdf" TargetMode="External"/><Relationship Id="rId47" Type="http://schemas.openxmlformats.org/officeDocument/2006/relationships/hyperlink" Target="http://www.uvzsr.sk/docs/info/covid19/opatrenia_hromadne_podujatia_bohosluzby.pdf" TargetMode="External"/><Relationship Id="rId50" Type="http://schemas.openxmlformats.org/officeDocument/2006/relationships/hyperlink" Target="http://www.uvzsr.sk/docs/info/covid19/26_05_zmena_opatrenia_prevadzky_vynimky.pdf" TargetMode="External"/><Relationship Id="rId55" Type="http://schemas.openxmlformats.org/officeDocument/2006/relationships/hyperlink" Target="http://www.uvzsr.sk/docs/info/covid19/Odporucania_hlavneho_hygienika_SR_navsteva_sprievod_pacienta_v_ZZ.pdf" TargetMode="External"/><Relationship Id="rId63" Type="http://schemas.openxmlformats.org/officeDocument/2006/relationships/hyperlink" Target="http://www.uvzsr.sk/docs/info/covid19/Krizovy_plan_pre_potravinove_prevadzky.pdf" TargetMode="External"/><Relationship Id="rId68"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rona.gov.sk/" TargetMode="External"/><Relationship Id="rId29" Type="http://schemas.openxmlformats.org/officeDocument/2006/relationships/hyperlink" Target="http://www.uvzsr.sk/docs/info/covid19/zmena_chytra_a_statna_karantena.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index.php?option=com_mailto&amp;tmpl=component&amp;link=e44635b498e8e111e6898966fd54c4796b8e96b0" TargetMode="External"/><Relationship Id="rId32" Type="http://schemas.openxmlformats.org/officeDocument/2006/relationships/hyperlink" Target="http://www.uvzsr.sk/docs/info/covid19/Navrh_opatrenia_rozsirenie_vynimiek_prekrytia_dychacich_ciest_11052020.pdf" TargetMode="External"/><Relationship Id="rId37" Type="http://schemas.openxmlformats.org/officeDocument/2006/relationships/hyperlink" Target="http://www.uvzsr.sk/docs/info/covid19/Usmernenie_zar_pre_deti_do_3_rokov.pdf" TargetMode="External"/><Relationship Id="rId40" Type="http://schemas.openxmlformats.org/officeDocument/2006/relationships/hyperlink" Target="http://www.uvzsr.sk/docs/info/covid19/26_05_zmena_opatrenia_prevadzky_vynimky.pdf" TargetMode="External"/><Relationship Id="rId45" Type="http://schemas.openxmlformats.org/officeDocument/2006/relationships/hyperlink" Target="http://www.uvzsr.sk/docs/info/covid19/usmernenie_catering_COVID19.pdf" TargetMode="External"/><Relationship Id="rId53" Type="http://schemas.openxmlformats.org/officeDocument/2006/relationships/hyperlink" Target="http://www.uvzsr.sk/docs/info/covid19/19_05_2020_Opatrenie_hromadne_podujatia.pdf" TargetMode="External"/><Relationship Id="rId58" Type="http://schemas.openxmlformats.org/officeDocument/2006/relationships/hyperlink" Target="http://www.uvzsr.sk/docs/info/covid19/Opatrenie_pre_nosenie_rusok.pdf" TargetMode="External"/><Relationship Id="rId66" Type="http://schemas.openxmlformats.org/officeDocument/2006/relationships/hyperlink" Target="http://www.uvzsr.sk/docs/info/covid19/Usmernenie_hlavneho_hygienika_SR_v_suvislosti_s_ochorenim_COVID_19_sposobenym_koronavirusom_SARS_CoV_2_siedma%20aktualizacia.pdf" TargetMode="External"/><Relationship Id="rId5" Type="http://schemas.openxmlformats.org/officeDocument/2006/relationships/webSettings" Target="webSettings.xm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www.uvzsr.sk/index.php?view=article&amp;catid=250:koronavirus-2019-ncov&amp;id=4076:usmernenie-hlavneho-hygienika-slovenskej-republiky-pre-verejnos-onkarantene&amp;tmpl=component&amp;print=1&amp;layout=default&amp;page=&amp;option=com_content&amp;Itemid=153" TargetMode="External"/><Relationship Id="rId28" Type="http://schemas.openxmlformats.org/officeDocument/2006/relationships/hyperlink" Target="http://www.uvzsr.sk/docs/info/covid19/Tlacivo_o_prekroceni_statnej_hranice_SK_DE_EN_HU.rtf" TargetMode="External"/><Relationship Id="rId36" Type="http://schemas.openxmlformats.org/officeDocument/2006/relationships/hyperlink" Target="http://www.uvzsr.sk/docs/info/covid19/Opatrenia_vynimka_vysoke_skoly_lekarske.pdf" TargetMode="External"/><Relationship Id="rId49" Type="http://schemas.openxmlformats.org/officeDocument/2006/relationships/hyperlink" Target="http://www.uvzsr.sk/docs/info/covid19/19_05_2020_navrh_opatrenie_UVZ_SR_prevadzky_3_faza_01.pdf" TargetMode="External"/><Relationship Id="rId57" Type="http://schemas.openxmlformats.org/officeDocument/2006/relationships/hyperlink" Target="http://www.uvzsr.sk/docs/info/covid19/Zabezpecenie_ochrany_klientov_ZSS_a_personalu_ZSS_pocas_pandemie_COVID_19.pdf" TargetMode="External"/><Relationship Id="rId61" Type="http://schemas.openxmlformats.org/officeDocument/2006/relationships/hyperlink" Target="http://www.uvzsr.sk/docs/info/covid19/Opatrenie_UVZSR_poskytovanie_socialnych_sluzieb24032020.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Opatrenie_pre_nosenie_rusok.pdf" TargetMode="External"/><Relationship Id="rId44" Type="http://schemas.openxmlformats.org/officeDocument/2006/relationships/hyperlink" Target="http://www.uvzsr.sk/docs/info/covid19/opatrenia_hromadne_podujatia_bohosluzby.pdf" TargetMode="External"/><Relationship Id="rId52" Type="http://schemas.openxmlformats.org/officeDocument/2006/relationships/hyperlink" Target="http://www.uvzsr.sk/docs/info/covid19/usmernenie_catering_COVID19.pdf" TargetMode="External"/><Relationship Id="rId60" Type="http://schemas.openxmlformats.org/officeDocument/2006/relationships/hyperlink" Target="http://www.uvzsr.sk/docs/info/covid19/Opatrenie_UVZSR_vynimka_poradenske_centra_strava_rehabilitacie_12_05_2020_MSVVS.pdf" TargetMode="External"/><Relationship Id="rId65" Type="http://schemas.openxmlformats.org/officeDocument/2006/relationships/hyperlink" Target="http://www.uvzsr.sk/docs/info/covid19/Usmernenie_pre_pracoviska_UP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7" Type="http://schemas.openxmlformats.org/officeDocument/2006/relationships/hyperlink" Target="http://www.uvzsr.sk/docs/info/covid19/zmena_chytra_a_statna_karantena.pdf" TargetMode="External"/><Relationship Id="rId30" Type="http://schemas.openxmlformats.org/officeDocument/2006/relationships/hyperlink" Target="http://www.uvzsr.sk/docs/info/covid19/zmena_opatrenia_hranice_48%20hodin_01_06_final.pdf" TargetMode="External"/><Relationship Id="rId35" Type="http://schemas.openxmlformats.org/officeDocument/2006/relationships/hyperlink" Target="http://www.uvzsr.sk/docs/info/covid19/zmena_opatrenia_prevadzky_zariadenia_pre_deti_a_mladez.pdf" TargetMode="External"/><Relationship Id="rId43" Type="http://schemas.openxmlformats.org/officeDocument/2006/relationships/hyperlink" Target="http://www.uvzsr.sk/docs/info/covid19/19_05_2020_Opatrenie_hromadne_podujatia.pdf" TargetMode="External"/><Relationship Id="rId48" Type="http://schemas.openxmlformats.org/officeDocument/2006/relationships/hyperlink" Target="http://www.uvzsr.sk/docs/info/covid19/Navrh_opatrenia_rozsirenie_vynimiek_prekrytia_dychacich_ciest_11052020.pdf" TargetMode="External"/><Relationship Id="rId56"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64" Type="http://schemas.openxmlformats.org/officeDocument/2006/relationships/hyperlink" Target="http://www.uvzsr.sk/docs/info/covid19/Usmernenie_pripravenosti_podnikov_na_COVID_vlna_2.pdf" TargetMode="External"/><Relationship Id="rId69" Type="http://schemas.openxmlformats.org/officeDocument/2006/relationships/fontTable" Target="fontTable.xm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hyperlink" Target="http://www.uvzsr.sk/docs/info/covid19/Navrh_opatrenia_rozsirenie_vynimiek_prekrytia_dychacich_ciest_11052020.pdf" TargetMode="External"/><Relationship Id="rId3" Type="http://schemas.microsoft.com/office/2007/relationships/stylesWithEffects" Target="stylesWithEffects.xml"/><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s://korona.gov.sk/ekarantena/" TargetMode="External"/><Relationship Id="rId33" Type="http://schemas.openxmlformats.org/officeDocument/2006/relationships/hyperlink" Target="http://www.uvzsr.sk/docs/info/covid19/19_05_2020_final_opatrenia_ruska.pdf" TargetMode="External"/><Relationship Id="rId38" Type="http://schemas.openxmlformats.org/officeDocument/2006/relationships/hyperlink" Target="http://www.uvzsr.sk/docs/info/covid19/Usmernenie_strav_deti_MS_a_ZS.pdf" TargetMode="External"/><Relationship Id="rId46" Type="http://schemas.openxmlformats.org/officeDocument/2006/relationships/hyperlink" Target="http://www.uvzsr.sk/docs/info/covid19/19_05_2020_Opatrenie_hromadne_podujatia.pdf" TargetMode="External"/><Relationship Id="rId59" Type="http://schemas.openxmlformats.org/officeDocument/2006/relationships/hyperlink" Target="http://www.uvzsr.sk/index.php?option=com_content&amp;view=article&amp;id=4272:uvz-sr-usmernenie-kndetskym-ihriskam-v-exterieri&amp;catid=250:koronavirus-2019-ncov&amp;Itemid=153" TargetMode="External"/><Relationship Id="rId67"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20" Type="http://schemas.openxmlformats.org/officeDocument/2006/relationships/hyperlink" Target="http://www.uvzsr.sk/docs/info/covid19/PENDLER_maj.rtf" TargetMode="External"/><Relationship Id="rId41" Type="http://schemas.openxmlformats.org/officeDocument/2006/relationships/hyperlink" Target="http://www.uvzsr.sk/docs/info/covid19/usmernenie_catering_COVID19.pdf" TargetMode="External"/><Relationship Id="rId54" Type="http://schemas.openxmlformats.org/officeDocument/2006/relationships/hyperlink" Target="http://www.uvzsr.sk/docs/info/covid19/Rozhodnutie_zakaz_navstev_nemocnice.pdf" TargetMode="External"/><Relationship Id="rId62"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7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7031</Words>
  <Characters>40078</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2020-06-04T06:23:00Z</cp:lastPrinted>
  <dcterms:created xsi:type="dcterms:W3CDTF">2020-06-04T06:24:00Z</dcterms:created>
  <dcterms:modified xsi:type="dcterms:W3CDTF">2020-06-04T06:24:00Z</dcterms:modified>
</cp:coreProperties>
</file>